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87E1B" w14:textId="77777777" w:rsidR="00B075B0" w:rsidRPr="001976B6" w:rsidRDefault="00B075B0" w:rsidP="001976B6">
      <w:pPr>
        <w:pStyle w:val="TitreDocument"/>
        <w:spacing w:before="0" w:after="0" w:line="240" w:lineRule="auto"/>
        <w:ind w:left="0"/>
        <w:rPr>
          <w:rFonts w:eastAsia="Calibri" w:cs="Calibri"/>
          <w:b/>
          <w:sz w:val="24"/>
          <w:szCs w:val="24"/>
        </w:rPr>
      </w:pPr>
      <w:r w:rsidRPr="001976B6">
        <w:rPr>
          <w:sz w:val="24"/>
          <w:szCs w:val="24"/>
        </w:rPr>
        <w:t>E-HANDI TOUR GUIDE DE L’INCLUSION INNOVANTE DES PSDH</w:t>
      </w:r>
    </w:p>
    <w:p w14:paraId="6AEF4663" w14:textId="77777777" w:rsidR="001976B6" w:rsidRPr="001976B6" w:rsidRDefault="001976B6" w:rsidP="001976B6">
      <w:pPr>
        <w:pStyle w:val="NormalWeb"/>
        <w:spacing w:before="0" w:beforeAutospacing="0" w:after="0" w:afterAutospacing="0"/>
        <w:jc w:val="center"/>
        <w:rPr>
          <w:rFonts w:ascii="Luciole" w:hAnsi="Luciole" w:cs="Calibri"/>
          <w:b/>
          <w:bCs/>
          <w:color w:val="000000"/>
        </w:rPr>
      </w:pPr>
    </w:p>
    <w:p w14:paraId="20B9F0F7" w14:textId="77777777" w:rsidR="00DF594B" w:rsidRPr="001976B6" w:rsidRDefault="00F435C2" w:rsidP="001976B6">
      <w:pPr>
        <w:pStyle w:val="NormalWeb"/>
        <w:spacing w:before="0" w:beforeAutospacing="0" w:after="0" w:afterAutospacing="0"/>
        <w:jc w:val="center"/>
        <w:rPr>
          <w:rFonts w:ascii="Luciole" w:hAnsi="Luciole" w:cs="Calibri"/>
          <w:b/>
          <w:bCs/>
          <w:color w:val="000000"/>
        </w:rPr>
      </w:pPr>
      <w:r w:rsidRPr="001976B6">
        <w:rPr>
          <w:rFonts w:ascii="Luciole" w:hAnsi="Luciole" w:cs="Calibri"/>
          <w:b/>
          <w:bCs/>
          <w:color w:val="000000"/>
        </w:rPr>
        <w:t>IDENTIFICATION</w:t>
      </w:r>
    </w:p>
    <w:p w14:paraId="786C3D1F"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6B71C386" w14:textId="77777777" w:rsidR="001976B6"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br/>
        <w:t>Titre de la pratique exemplaire :</w:t>
      </w:r>
      <w:r w:rsidRPr="001976B6">
        <w:rPr>
          <w:rFonts w:ascii="Luciole" w:hAnsi="Luciole" w:cs="Calibri"/>
          <w:b/>
          <w:bCs/>
          <w:color w:val="000000"/>
        </w:rPr>
        <w:br/>
      </w:r>
    </w:p>
    <w:p w14:paraId="6429590C" w14:textId="0666CFDD" w:rsidR="00F435C2" w:rsidRPr="001976B6" w:rsidRDefault="00F435C2" w:rsidP="001976B6">
      <w:pPr>
        <w:pStyle w:val="NormalWeb"/>
        <w:spacing w:before="0" w:beforeAutospacing="0" w:after="0" w:afterAutospacing="0"/>
        <w:rPr>
          <w:rFonts w:ascii="Luciole" w:hAnsi="Luciole"/>
        </w:rPr>
      </w:pPr>
      <w:r w:rsidRPr="001976B6">
        <w:rPr>
          <w:rFonts w:ascii="Luciole" w:hAnsi="Luciole" w:cs="Calibri"/>
          <w:color w:val="000000"/>
        </w:rPr>
        <w:t>ATVA : Interface entre vie scolaire et professionnelle</w:t>
      </w:r>
    </w:p>
    <w:p w14:paraId="3140FF38"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7E87A511" w14:textId="77777777" w:rsidR="001976B6"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Promoteur de l'initiative :</w:t>
      </w:r>
      <w:r w:rsidRPr="001976B6">
        <w:rPr>
          <w:rFonts w:ascii="Luciole" w:hAnsi="Luciole" w:cs="Calibri"/>
          <w:b/>
          <w:bCs/>
          <w:color w:val="000000"/>
        </w:rPr>
        <w:br/>
      </w:r>
    </w:p>
    <w:p w14:paraId="214A1C05" w14:textId="34D47C68" w:rsidR="00F435C2" w:rsidRPr="001976B6" w:rsidRDefault="00F435C2" w:rsidP="001976B6">
      <w:pPr>
        <w:pStyle w:val="NormalWeb"/>
        <w:spacing w:before="0" w:beforeAutospacing="0" w:after="0" w:afterAutospacing="0"/>
        <w:rPr>
          <w:rFonts w:ascii="Luciole" w:hAnsi="Luciole"/>
        </w:rPr>
      </w:pPr>
      <w:r w:rsidRPr="001976B6">
        <w:rPr>
          <w:rFonts w:ascii="Luciole" w:hAnsi="Luciole" w:cs="Calibri"/>
          <w:color w:val="000000"/>
        </w:rPr>
        <w:t>ATVA Luxembourg</w:t>
      </w:r>
    </w:p>
    <w:p w14:paraId="56B565BD"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74E737A3" w14:textId="77777777" w:rsidR="001976B6" w:rsidRPr="001976B6" w:rsidRDefault="00F435C2" w:rsidP="001976B6">
      <w:pPr>
        <w:pStyle w:val="NormalWeb"/>
        <w:spacing w:before="0" w:beforeAutospacing="0" w:after="0" w:afterAutospacing="0"/>
        <w:rPr>
          <w:rFonts w:ascii="Luciole" w:hAnsi="Luciole" w:cs="Calibri"/>
          <w:b/>
          <w:bCs/>
          <w:color w:val="000000"/>
        </w:rPr>
      </w:pPr>
      <w:r w:rsidRPr="001976B6">
        <w:rPr>
          <w:rFonts w:ascii="Luciole" w:hAnsi="Luciole" w:cs="Calibri"/>
          <w:b/>
          <w:bCs/>
          <w:color w:val="000000"/>
        </w:rPr>
        <w:t>Pays :</w:t>
      </w:r>
      <w:r w:rsidR="00DF594B" w:rsidRPr="001976B6">
        <w:rPr>
          <w:rFonts w:ascii="Luciole" w:hAnsi="Luciole" w:cs="Calibri"/>
          <w:b/>
          <w:bCs/>
          <w:color w:val="000000"/>
        </w:rPr>
        <w:t xml:space="preserve"> </w:t>
      </w:r>
    </w:p>
    <w:p w14:paraId="0B258CC3"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3321AC8E" w14:textId="654E627F" w:rsidR="00F435C2" w:rsidRPr="001976B6" w:rsidRDefault="00F435C2" w:rsidP="001976B6">
      <w:pPr>
        <w:pStyle w:val="NormalWeb"/>
        <w:spacing w:before="0" w:beforeAutospacing="0" w:after="0" w:afterAutospacing="0"/>
        <w:rPr>
          <w:rFonts w:ascii="Luciole" w:hAnsi="Luciole"/>
        </w:rPr>
      </w:pPr>
      <w:r w:rsidRPr="001976B6">
        <w:rPr>
          <w:rFonts w:ascii="Luciole" w:hAnsi="Luciole" w:cs="Calibri"/>
          <w:color w:val="000000"/>
        </w:rPr>
        <w:t>Luxembourg</w:t>
      </w:r>
    </w:p>
    <w:p w14:paraId="3A95DA86"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209824E8" w14:textId="77777777" w:rsidR="001976B6" w:rsidRPr="001976B6" w:rsidRDefault="00F435C2" w:rsidP="001976B6">
      <w:pPr>
        <w:pStyle w:val="NormalWeb"/>
        <w:spacing w:before="0" w:beforeAutospacing="0" w:after="0" w:afterAutospacing="0"/>
        <w:rPr>
          <w:rFonts w:ascii="Luciole" w:hAnsi="Luciole" w:cs="Calibri"/>
          <w:b/>
          <w:bCs/>
          <w:color w:val="000000"/>
        </w:rPr>
      </w:pPr>
      <w:r w:rsidRPr="001976B6">
        <w:rPr>
          <w:rFonts w:ascii="Luciole" w:hAnsi="Luciole" w:cs="Calibri"/>
          <w:b/>
          <w:bCs/>
          <w:color w:val="000000"/>
        </w:rPr>
        <w:t>Site internet :</w:t>
      </w:r>
      <w:r w:rsidR="00DF594B" w:rsidRPr="001976B6">
        <w:rPr>
          <w:rFonts w:ascii="Luciole" w:hAnsi="Luciole" w:cs="Calibri"/>
          <w:b/>
          <w:bCs/>
          <w:color w:val="000000"/>
        </w:rPr>
        <w:t xml:space="preserve"> </w:t>
      </w:r>
    </w:p>
    <w:p w14:paraId="4D81DE7E"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2DE59B07" w14:textId="07CC8E75" w:rsidR="00F435C2" w:rsidRPr="001976B6" w:rsidRDefault="00C62B68" w:rsidP="001976B6">
      <w:pPr>
        <w:pStyle w:val="NormalWeb"/>
        <w:spacing w:before="0" w:beforeAutospacing="0" w:after="0" w:afterAutospacing="0"/>
        <w:rPr>
          <w:rFonts w:ascii="Luciole" w:hAnsi="Luciole"/>
        </w:rPr>
      </w:pPr>
      <w:hyperlink r:id="rId8" w:history="1">
        <w:r w:rsidR="00F435C2" w:rsidRPr="001976B6">
          <w:rPr>
            <w:rStyle w:val="Lienhypertexte"/>
            <w:rFonts w:ascii="Luciole" w:hAnsi="Luciole" w:cs="Calibri"/>
            <w:color w:val="1155CC"/>
          </w:rPr>
          <w:t>www.atva.lu</w:t>
        </w:r>
      </w:hyperlink>
    </w:p>
    <w:p w14:paraId="0A416643"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426BBF5D" w14:textId="77777777" w:rsidR="001976B6" w:rsidRPr="001976B6" w:rsidRDefault="00F435C2" w:rsidP="001976B6">
      <w:pPr>
        <w:pStyle w:val="NormalWeb"/>
        <w:spacing w:before="0" w:beforeAutospacing="0" w:after="0" w:afterAutospacing="0"/>
        <w:rPr>
          <w:rFonts w:ascii="Luciole" w:hAnsi="Luciole" w:cs="Calibri"/>
          <w:b/>
          <w:bCs/>
          <w:color w:val="000000"/>
        </w:rPr>
      </w:pPr>
      <w:r w:rsidRPr="001976B6">
        <w:rPr>
          <w:rFonts w:ascii="Luciole" w:hAnsi="Luciole" w:cs="Calibri"/>
          <w:b/>
          <w:bCs/>
          <w:color w:val="000000"/>
        </w:rPr>
        <w:t>Contact :</w:t>
      </w:r>
      <w:r w:rsidR="00DF594B" w:rsidRPr="001976B6">
        <w:rPr>
          <w:rFonts w:ascii="Luciole" w:hAnsi="Luciole" w:cs="Calibri"/>
          <w:b/>
          <w:bCs/>
          <w:color w:val="000000"/>
        </w:rPr>
        <w:t xml:space="preserve"> </w:t>
      </w:r>
    </w:p>
    <w:p w14:paraId="230F53C1"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5C793468" w14:textId="3A99383D" w:rsidR="00F435C2" w:rsidRPr="001976B6" w:rsidRDefault="00F435C2" w:rsidP="001976B6">
      <w:pPr>
        <w:pStyle w:val="NormalWeb"/>
        <w:spacing w:before="0" w:beforeAutospacing="0" w:after="0" w:afterAutospacing="0"/>
        <w:rPr>
          <w:rFonts w:ascii="Luciole" w:hAnsi="Luciole"/>
        </w:rPr>
      </w:pPr>
      <w:r w:rsidRPr="001976B6">
        <w:rPr>
          <w:rFonts w:ascii="Luciole" w:hAnsi="Luciole" w:cs="Calibri"/>
          <w:color w:val="000000"/>
        </w:rPr>
        <w:t>paul.feitler@cc-atva.lu</w:t>
      </w:r>
    </w:p>
    <w:p w14:paraId="30DC63F5" w14:textId="1A0FF7C2" w:rsidR="00F435C2" w:rsidRPr="001976B6" w:rsidRDefault="00F435C2" w:rsidP="001976B6">
      <w:pPr>
        <w:spacing w:after="0" w:line="240" w:lineRule="auto"/>
        <w:ind w:left="0"/>
        <w:rPr>
          <w:rFonts w:ascii="Luciole" w:hAnsi="Luciole"/>
          <w:sz w:val="24"/>
        </w:rPr>
      </w:pPr>
    </w:p>
    <w:p w14:paraId="1E0CD38E" w14:textId="7FB88383" w:rsidR="001976B6" w:rsidRPr="001976B6" w:rsidRDefault="001976B6">
      <w:pPr>
        <w:spacing w:after="160" w:line="259" w:lineRule="auto"/>
        <w:ind w:left="0" w:firstLine="0"/>
        <w:rPr>
          <w:rFonts w:ascii="Luciole" w:hAnsi="Luciole"/>
          <w:sz w:val="24"/>
        </w:rPr>
      </w:pPr>
      <w:r w:rsidRPr="001976B6">
        <w:rPr>
          <w:rFonts w:ascii="Luciole" w:hAnsi="Luciole"/>
          <w:sz w:val="24"/>
        </w:rPr>
        <w:br w:type="page"/>
      </w:r>
    </w:p>
    <w:p w14:paraId="11F3703E" w14:textId="1E6C664D" w:rsidR="00F435C2" w:rsidRPr="001976B6" w:rsidRDefault="00F435C2" w:rsidP="001976B6">
      <w:pPr>
        <w:pStyle w:val="Titre3"/>
        <w:numPr>
          <w:ilvl w:val="0"/>
          <w:numId w:val="0"/>
        </w:numPr>
        <w:spacing w:before="0" w:after="0" w:line="240" w:lineRule="auto"/>
        <w:rPr>
          <w:rFonts w:ascii="Luciole" w:hAnsi="Luciole"/>
          <w:sz w:val="24"/>
        </w:rPr>
      </w:pPr>
      <w:r w:rsidRPr="001976B6">
        <w:rPr>
          <w:rFonts w:ascii="Luciole" w:hAnsi="Luciole" w:cs="Calibri"/>
          <w:color w:val="000000"/>
          <w:sz w:val="24"/>
        </w:rPr>
        <w:lastRenderedPageBreak/>
        <w:t>DÉTAIL DE L'INITIATIVE</w:t>
      </w:r>
      <w:r w:rsidR="00B075B0" w:rsidRPr="001976B6">
        <w:rPr>
          <w:rFonts w:ascii="Calibri" w:hAnsi="Calibri" w:cs="Calibri"/>
          <w:color w:val="000000"/>
          <w:sz w:val="24"/>
        </w:rPr>
        <w:t> </w:t>
      </w:r>
      <w:r w:rsidR="00B075B0" w:rsidRPr="001976B6">
        <w:rPr>
          <w:rFonts w:ascii="Luciole" w:hAnsi="Luciole" w:cs="Calibri"/>
          <w:color w:val="000000"/>
          <w:sz w:val="24"/>
        </w:rPr>
        <w:t>:</w:t>
      </w:r>
    </w:p>
    <w:p w14:paraId="6D1CAA27"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0DC07BA2" w14:textId="77777777" w:rsidR="001976B6" w:rsidRPr="001976B6" w:rsidRDefault="001976B6" w:rsidP="001976B6">
      <w:pPr>
        <w:pStyle w:val="NormalWeb"/>
        <w:spacing w:before="0" w:beforeAutospacing="0" w:after="0" w:afterAutospacing="0"/>
        <w:rPr>
          <w:rFonts w:ascii="Luciole" w:hAnsi="Luciole" w:cs="Calibri"/>
          <w:b/>
          <w:bCs/>
          <w:color w:val="000000"/>
        </w:rPr>
      </w:pPr>
    </w:p>
    <w:p w14:paraId="2C539D44" w14:textId="77777777" w:rsidR="001976B6"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Année(s) de mise en œuvre :</w:t>
      </w:r>
      <w:r w:rsidRPr="001976B6">
        <w:rPr>
          <w:rFonts w:ascii="Luciole" w:hAnsi="Luciole" w:cs="Calibri"/>
          <w:b/>
          <w:bCs/>
          <w:color w:val="000000"/>
        </w:rPr>
        <w:br/>
      </w:r>
    </w:p>
    <w:p w14:paraId="4325C3E1" w14:textId="1EC50203" w:rsidR="00F435C2"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color w:val="000000"/>
        </w:rPr>
        <w:t>2021</w:t>
      </w:r>
    </w:p>
    <w:p w14:paraId="71A0946E" w14:textId="77777777" w:rsidR="00DF594B" w:rsidRPr="001976B6" w:rsidRDefault="00DF594B" w:rsidP="001976B6">
      <w:pPr>
        <w:pStyle w:val="NormalWeb"/>
        <w:spacing w:before="0" w:beforeAutospacing="0" w:after="0" w:afterAutospacing="0"/>
        <w:rPr>
          <w:rFonts w:ascii="Luciole" w:hAnsi="Luciole"/>
        </w:rPr>
      </w:pPr>
    </w:p>
    <w:p w14:paraId="06EAEB6F" w14:textId="77777777" w:rsidR="001976B6" w:rsidRPr="001976B6" w:rsidRDefault="001976B6" w:rsidP="001976B6">
      <w:pPr>
        <w:pStyle w:val="NormalWeb"/>
        <w:spacing w:before="0" w:beforeAutospacing="0" w:after="0" w:afterAutospacing="0"/>
        <w:rPr>
          <w:rFonts w:ascii="Luciole" w:hAnsi="Luciole"/>
        </w:rPr>
      </w:pPr>
    </w:p>
    <w:p w14:paraId="7D56B998" w14:textId="77777777" w:rsidR="001976B6"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Groupe(s) cible(s) :</w:t>
      </w:r>
      <w:r w:rsidRPr="001976B6">
        <w:rPr>
          <w:rFonts w:ascii="Luciole" w:hAnsi="Luciole" w:cs="Calibri"/>
          <w:b/>
          <w:bCs/>
          <w:color w:val="000000"/>
        </w:rPr>
        <w:br/>
      </w:r>
    </w:p>
    <w:p w14:paraId="1AD861E9" w14:textId="031AE5DF" w:rsidR="00F435C2"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color w:val="000000"/>
        </w:rPr>
        <w:t>Tous les élèves en difficulté d’intégration, y compris ceux en situation de handicap</w:t>
      </w:r>
    </w:p>
    <w:p w14:paraId="386B40B0" w14:textId="77777777" w:rsidR="00DF594B" w:rsidRPr="001976B6" w:rsidRDefault="00DF594B" w:rsidP="001976B6">
      <w:pPr>
        <w:pStyle w:val="NormalWeb"/>
        <w:spacing w:before="0" w:beforeAutospacing="0" w:after="0" w:afterAutospacing="0"/>
        <w:rPr>
          <w:rFonts w:ascii="Luciole" w:hAnsi="Luciole"/>
        </w:rPr>
      </w:pPr>
    </w:p>
    <w:p w14:paraId="2F33831E" w14:textId="77777777" w:rsid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Description :</w:t>
      </w:r>
      <w:r w:rsidRPr="001976B6">
        <w:rPr>
          <w:rFonts w:ascii="Luciole" w:hAnsi="Luciole" w:cs="Calibri"/>
          <w:b/>
          <w:bCs/>
          <w:color w:val="000000"/>
        </w:rPr>
        <w:br/>
      </w:r>
    </w:p>
    <w:p w14:paraId="7A30F2F2" w14:textId="6639EB51" w:rsidR="00F435C2"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color w:val="000000"/>
        </w:rPr>
        <w:t xml:space="preserve">Paul </w:t>
      </w:r>
      <w:proofErr w:type="spellStart"/>
      <w:r w:rsidRPr="001976B6">
        <w:rPr>
          <w:rFonts w:ascii="Luciole" w:hAnsi="Luciole" w:cs="Calibri"/>
          <w:color w:val="000000"/>
        </w:rPr>
        <w:t>Feitler</w:t>
      </w:r>
      <w:proofErr w:type="spellEnd"/>
      <w:r w:rsidRPr="001976B6">
        <w:rPr>
          <w:rFonts w:ascii="Luciole" w:hAnsi="Luciole" w:cs="Calibri"/>
          <w:color w:val="000000"/>
        </w:rPr>
        <w:t>, directeur de l'ATVA (Agence pour la Transition vers une Vie Autonome), explique que l'ATVA se concentre sur l'accompagnement des jeunes en transition entre la vie scolaire et la vie active. Créée en 2018, l'ATVA vise à faciliter cette transition pour les jeunes à besoins spécifiques pris en charge par les centres de compétences. Ses services incluent l’aide à l’intégration sur le marché du travail, la reprise d'études, ou l’inclusion dans des activités de jour, avec pour but de garantir l’autonomie des jeunes concernés.</w:t>
      </w:r>
    </w:p>
    <w:p w14:paraId="059D7C2E" w14:textId="77777777" w:rsidR="00DF594B" w:rsidRDefault="00DF594B" w:rsidP="001976B6">
      <w:pPr>
        <w:pStyle w:val="NormalWeb"/>
        <w:spacing w:before="0" w:beforeAutospacing="0" w:after="0" w:afterAutospacing="0"/>
        <w:rPr>
          <w:rFonts w:ascii="Luciole" w:hAnsi="Luciole"/>
        </w:rPr>
      </w:pPr>
    </w:p>
    <w:p w14:paraId="57055EF6" w14:textId="4CF2477F" w:rsidR="001976B6" w:rsidRDefault="001976B6">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05ADB8AB" w14:textId="77777777" w:rsidR="001976B6" w:rsidRPr="001976B6" w:rsidRDefault="001976B6" w:rsidP="001976B6">
      <w:pPr>
        <w:pStyle w:val="NormalWeb"/>
        <w:spacing w:before="0" w:beforeAutospacing="0" w:after="0" w:afterAutospacing="0"/>
        <w:rPr>
          <w:rFonts w:ascii="Luciole" w:hAnsi="Luciole"/>
        </w:rPr>
      </w:pPr>
    </w:p>
    <w:p w14:paraId="42E51CCF" w14:textId="77777777" w:rsidR="00F435C2" w:rsidRPr="001976B6" w:rsidRDefault="00F435C2" w:rsidP="001976B6">
      <w:pPr>
        <w:pStyle w:val="NormalWeb"/>
        <w:spacing w:before="0" w:beforeAutospacing="0" w:after="0" w:afterAutospacing="0"/>
        <w:rPr>
          <w:rFonts w:ascii="Luciole" w:hAnsi="Luciole" w:cs="Calibri"/>
          <w:b/>
          <w:bCs/>
          <w:color w:val="000000"/>
        </w:rPr>
      </w:pPr>
      <w:r w:rsidRPr="001976B6">
        <w:rPr>
          <w:rFonts w:ascii="Luciole" w:hAnsi="Luciole" w:cs="Calibri"/>
          <w:b/>
          <w:bCs/>
          <w:color w:val="000000"/>
        </w:rPr>
        <w:t>Méthodologie :</w:t>
      </w:r>
    </w:p>
    <w:p w14:paraId="05B194D5" w14:textId="77777777" w:rsidR="00DF594B" w:rsidRDefault="00DF594B" w:rsidP="001976B6">
      <w:pPr>
        <w:pStyle w:val="NormalWeb"/>
        <w:spacing w:before="0" w:beforeAutospacing="0" w:after="0" w:afterAutospacing="0"/>
        <w:rPr>
          <w:rFonts w:ascii="Luciole" w:hAnsi="Luciole"/>
        </w:rPr>
      </w:pPr>
    </w:p>
    <w:p w14:paraId="0418E9B9" w14:textId="77777777" w:rsidR="001976B6" w:rsidRPr="001976B6" w:rsidRDefault="001976B6" w:rsidP="001976B6">
      <w:pPr>
        <w:pStyle w:val="NormalWeb"/>
        <w:spacing w:before="0" w:beforeAutospacing="0" w:after="0" w:afterAutospacing="0"/>
        <w:rPr>
          <w:rFonts w:ascii="Luciole" w:hAnsi="Luciole"/>
        </w:rPr>
      </w:pPr>
    </w:p>
    <w:p w14:paraId="4ACB1654" w14:textId="77777777" w:rsid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b/>
          <w:bCs/>
          <w:color w:val="000000"/>
        </w:rPr>
        <w:t>Accompagnement personnalisé pour la transition :</w:t>
      </w:r>
      <w:r w:rsidRPr="001976B6">
        <w:rPr>
          <w:rFonts w:ascii="Luciole" w:hAnsi="Luciole" w:cs="Calibri"/>
          <w:b/>
          <w:bCs/>
          <w:color w:val="000000"/>
        </w:rPr>
        <w:br/>
      </w:r>
    </w:p>
    <w:p w14:paraId="6A8F0471" w14:textId="6C24703A" w:rsidR="00F435C2" w:rsidRP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color w:val="000000"/>
        </w:rPr>
        <w:t>L'ATVA propose un accompagnement sur mesure aux jeunes en situation de handicap pour assurer une transition fluide vers l’autonomie. Ce service inclut des conseils sur les options professionnelles, du coaching, ainsi que la création de plans de développement personnalisés adaptés aux besoins spécifiques de chaque jeune.</w:t>
      </w:r>
    </w:p>
    <w:p w14:paraId="08A751A0" w14:textId="77777777" w:rsidR="00DF594B" w:rsidRDefault="00DF594B" w:rsidP="001976B6">
      <w:pPr>
        <w:pStyle w:val="NormalWeb"/>
        <w:spacing w:before="0" w:beforeAutospacing="0" w:after="0" w:afterAutospacing="0"/>
        <w:textAlignment w:val="baseline"/>
        <w:rPr>
          <w:rFonts w:ascii="Luciole" w:hAnsi="Luciole" w:cs="Calibri"/>
          <w:color w:val="000000"/>
        </w:rPr>
      </w:pPr>
    </w:p>
    <w:p w14:paraId="74923050" w14:textId="77777777" w:rsidR="001976B6" w:rsidRPr="001976B6" w:rsidRDefault="001976B6" w:rsidP="001976B6">
      <w:pPr>
        <w:pStyle w:val="NormalWeb"/>
        <w:spacing w:before="0" w:beforeAutospacing="0" w:after="0" w:afterAutospacing="0"/>
        <w:textAlignment w:val="baseline"/>
        <w:rPr>
          <w:rFonts w:ascii="Luciole" w:hAnsi="Luciole" w:cs="Calibri"/>
          <w:color w:val="000000"/>
        </w:rPr>
      </w:pPr>
    </w:p>
    <w:p w14:paraId="2754761C" w14:textId="77777777" w:rsid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b/>
          <w:bCs/>
          <w:color w:val="000000"/>
        </w:rPr>
        <w:t>Collaboration avec les centres de compétences et les écoles :</w:t>
      </w:r>
      <w:r w:rsidRPr="001976B6">
        <w:rPr>
          <w:rFonts w:ascii="Luciole" w:hAnsi="Luciole" w:cs="Calibri"/>
          <w:b/>
          <w:bCs/>
          <w:color w:val="000000"/>
        </w:rPr>
        <w:br/>
      </w:r>
    </w:p>
    <w:p w14:paraId="0BAA5BB0" w14:textId="6E43CC30" w:rsidR="00F435C2" w:rsidRP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color w:val="000000"/>
        </w:rPr>
        <w:t>L'ATVA collabore activement avec les centres de compétences, les écoles et d’autres agences pour faciliter la transition des jeunes handicapés. Cette coopération prend la forme de programmes de formation conjointe, de stages en entreprise, et d’ateliers de préparation à la vie professionnelle.</w:t>
      </w:r>
    </w:p>
    <w:p w14:paraId="2A5EB6F9" w14:textId="77777777" w:rsidR="00DF594B" w:rsidRPr="001976B6" w:rsidRDefault="00DF594B" w:rsidP="001976B6">
      <w:pPr>
        <w:pStyle w:val="Paragraphedeliste"/>
        <w:spacing w:after="0" w:line="240" w:lineRule="auto"/>
        <w:ind w:left="0"/>
        <w:rPr>
          <w:rFonts w:ascii="Luciole" w:hAnsi="Luciole" w:cs="Calibri"/>
          <w:sz w:val="24"/>
        </w:rPr>
      </w:pPr>
    </w:p>
    <w:p w14:paraId="15F31AFA" w14:textId="77777777" w:rsidR="00DF594B" w:rsidRPr="001976B6" w:rsidRDefault="00DF594B" w:rsidP="001976B6">
      <w:pPr>
        <w:pStyle w:val="NormalWeb"/>
        <w:spacing w:before="0" w:beforeAutospacing="0" w:after="0" w:afterAutospacing="0"/>
        <w:textAlignment w:val="baseline"/>
        <w:rPr>
          <w:rFonts w:ascii="Luciole" w:hAnsi="Luciole" w:cs="Calibri"/>
          <w:color w:val="000000"/>
        </w:rPr>
      </w:pPr>
    </w:p>
    <w:p w14:paraId="39FD3A3C" w14:textId="77777777" w:rsid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b/>
          <w:bCs/>
          <w:color w:val="000000"/>
        </w:rPr>
        <w:t>Promotion de l'autodétermination :</w:t>
      </w:r>
      <w:r w:rsidRPr="001976B6">
        <w:rPr>
          <w:rFonts w:ascii="Luciole" w:hAnsi="Luciole" w:cs="Calibri"/>
          <w:b/>
          <w:bCs/>
          <w:color w:val="000000"/>
        </w:rPr>
        <w:br/>
      </w:r>
    </w:p>
    <w:p w14:paraId="218C3359" w14:textId="42AFDFBF" w:rsidR="00F435C2" w:rsidRP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color w:val="000000"/>
        </w:rPr>
        <w:t>L'ATVA encourage les jeunes handicapés à développer leur autodétermination en leur offrant des outils pour prendre des décisions informées concernant leur avenir. Les programmes éducatifs enseignent les compétences nécessaires à la prise de décision, à la gestion de la vie quotidienne et à la participation active à la communauté.</w:t>
      </w:r>
    </w:p>
    <w:p w14:paraId="0E9E333F" w14:textId="77777777" w:rsidR="00DF594B" w:rsidRPr="001976B6" w:rsidRDefault="00DF594B" w:rsidP="001976B6">
      <w:pPr>
        <w:pStyle w:val="NormalWeb"/>
        <w:spacing w:before="0" w:beforeAutospacing="0" w:after="0" w:afterAutospacing="0"/>
        <w:textAlignment w:val="baseline"/>
        <w:rPr>
          <w:rFonts w:ascii="Luciole" w:hAnsi="Luciole" w:cs="Calibri"/>
          <w:color w:val="000000"/>
        </w:rPr>
      </w:pPr>
    </w:p>
    <w:p w14:paraId="6620A19F" w14:textId="1423C919" w:rsidR="001976B6" w:rsidRDefault="001976B6">
      <w:pPr>
        <w:spacing w:after="160" w:line="259" w:lineRule="auto"/>
        <w:ind w:left="0" w:firstLine="0"/>
        <w:rPr>
          <w:rFonts w:ascii="Luciole" w:eastAsia="Times New Roman" w:hAnsi="Luciole" w:cs="Calibri"/>
          <w:b w:val="0"/>
          <w:kern w:val="0"/>
          <w:sz w:val="24"/>
          <w:lang w:val="fr-BE" w:eastAsia="fr-BE"/>
          <w14:ligatures w14:val="none"/>
        </w:rPr>
      </w:pPr>
      <w:r>
        <w:rPr>
          <w:rFonts w:ascii="Luciole" w:hAnsi="Luciole" w:cs="Calibri"/>
        </w:rPr>
        <w:br w:type="page"/>
      </w:r>
    </w:p>
    <w:p w14:paraId="702774F5" w14:textId="77777777" w:rsid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b/>
          <w:bCs/>
          <w:color w:val="000000"/>
        </w:rPr>
        <w:lastRenderedPageBreak/>
        <w:t>Création de réseaux de soutien :</w:t>
      </w:r>
      <w:r w:rsidRPr="001976B6">
        <w:rPr>
          <w:rFonts w:ascii="Luciole" w:hAnsi="Luciole" w:cs="Calibri"/>
          <w:b/>
          <w:bCs/>
          <w:color w:val="000000"/>
        </w:rPr>
        <w:br/>
      </w:r>
    </w:p>
    <w:p w14:paraId="1A9AB0F4" w14:textId="34BEBB4A" w:rsidR="00F435C2" w:rsidRP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color w:val="000000"/>
        </w:rPr>
        <w:t>L’ATVA met en place des réseaux de soutien constitués de mentors, de pairs et de professionnels pour aider les jeunes à surmonter les défis liés à la transition. Ces réseaux offrent un soutien émotionnel et pratique, tout en fournissant des conseils et des ressources pour favoriser leur développement personnel et professionnel.</w:t>
      </w:r>
    </w:p>
    <w:p w14:paraId="0CE53146" w14:textId="77777777" w:rsidR="00DF594B" w:rsidRPr="001976B6" w:rsidRDefault="00DF594B" w:rsidP="001976B6">
      <w:pPr>
        <w:pStyle w:val="NormalWeb"/>
        <w:spacing w:before="0" w:beforeAutospacing="0" w:after="0" w:afterAutospacing="0"/>
        <w:textAlignment w:val="baseline"/>
        <w:rPr>
          <w:rFonts w:ascii="Luciole" w:hAnsi="Luciole" w:cs="Calibri"/>
          <w:color w:val="000000"/>
        </w:rPr>
      </w:pPr>
    </w:p>
    <w:p w14:paraId="4F9FFC1B" w14:textId="77777777" w:rsidR="00DF594B" w:rsidRPr="001976B6" w:rsidRDefault="00DF594B" w:rsidP="001976B6">
      <w:pPr>
        <w:pStyle w:val="NormalWeb"/>
        <w:spacing w:before="0" w:beforeAutospacing="0" w:after="0" w:afterAutospacing="0"/>
        <w:textAlignment w:val="baseline"/>
        <w:rPr>
          <w:rFonts w:ascii="Luciole" w:hAnsi="Luciole" w:cs="Calibri"/>
          <w:color w:val="000000"/>
        </w:rPr>
      </w:pPr>
    </w:p>
    <w:p w14:paraId="1320DF27" w14:textId="77777777" w:rsid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b/>
          <w:bCs/>
          <w:color w:val="000000"/>
        </w:rPr>
        <w:t>Sensibilisation et formation des enseignants :</w:t>
      </w:r>
      <w:r w:rsidRPr="001976B6">
        <w:rPr>
          <w:rFonts w:ascii="Luciole" w:hAnsi="Luciole" w:cs="Calibri"/>
          <w:b/>
          <w:bCs/>
          <w:color w:val="000000"/>
        </w:rPr>
        <w:br/>
      </w:r>
    </w:p>
    <w:p w14:paraId="3B834F64" w14:textId="6F1D84FA" w:rsidR="00F435C2" w:rsidRPr="001976B6" w:rsidRDefault="00F435C2" w:rsidP="001976B6">
      <w:pPr>
        <w:pStyle w:val="NormalWeb"/>
        <w:spacing w:before="0" w:beforeAutospacing="0" w:after="0" w:afterAutospacing="0"/>
        <w:textAlignment w:val="baseline"/>
        <w:rPr>
          <w:rFonts w:ascii="Luciole" w:hAnsi="Luciole" w:cs="Calibri"/>
          <w:color w:val="000000"/>
        </w:rPr>
      </w:pPr>
      <w:r w:rsidRPr="001976B6">
        <w:rPr>
          <w:rFonts w:ascii="Luciole" w:hAnsi="Luciole" w:cs="Calibri"/>
          <w:color w:val="000000"/>
        </w:rPr>
        <w:t>L'ATVA forme et sensibilise les enseignants aux besoins spécifiques des élèves en situation de handicap. Les formations incluent des techniques d'enseignement inclusif, des stratégies pour répondre aux besoins particuliers des élèves, et des ajustements pédagogiques afin de créer un environnement d'apprentissage plus favorable et adapté à tous.</w:t>
      </w:r>
    </w:p>
    <w:p w14:paraId="3789857F" w14:textId="4797820F" w:rsidR="00F435C2" w:rsidRDefault="00F435C2" w:rsidP="001976B6">
      <w:pPr>
        <w:spacing w:after="0" w:line="240" w:lineRule="auto"/>
        <w:ind w:left="0"/>
        <w:rPr>
          <w:rFonts w:ascii="Luciole" w:hAnsi="Luciole" w:cs="Times New Roman"/>
          <w:color w:val="auto"/>
          <w:sz w:val="24"/>
        </w:rPr>
      </w:pPr>
    </w:p>
    <w:p w14:paraId="5A83524C" w14:textId="77777777" w:rsidR="001976B6" w:rsidRPr="001976B6" w:rsidRDefault="001976B6" w:rsidP="001976B6">
      <w:pPr>
        <w:spacing w:after="0" w:line="240" w:lineRule="auto"/>
        <w:ind w:left="0"/>
        <w:rPr>
          <w:rFonts w:ascii="Luciole" w:hAnsi="Luciole" w:cs="Times New Roman"/>
          <w:color w:val="auto"/>
          <w:sz w:val="24"/>
        </w:rPr>
      </w:pPr>
    </w:p>
    <w:p w14:paraId="31D32EA2" w14:textId="03106D22" w:rsidR="00F435C2" w:rsidRPr="001976B6" w:rsidRDefault="00F435C2" w:rsidP="001976B6">
      <w:pPr>
        <w:pStyle w:val="Titre3"/>
        <w:numPr>
          <w:ilvl w:val="0"/>
          <w:numId w:val="0"/>
        </w:numPr>
        <w:spacing w:before="0" w:after="0" w:line="240" w:lineRule="auto"/>
        <w:rPr>
          <w:rFonts w:ascii="Luciole" w:hAnsi="Luciole"/>
          <w:sz w:val="24"/>
        </w:rPr>
      </w:pPr>
      <w:r w:rsidRPr="001976B6">
        <w:rPr>
          <w:rFonts w:ascii="Luciole" w:hAnsi="Luciole" w:cs="Calibri"/>
          <w:color w:val="000000"/>
          <w:sz w:val="24"/>
        </w:rPr>
        <w:t>DOMAINE</w:t>
      </w:r>
      <w:r w:rsidR="009F7D25" w:rsidRPr="001976B6">
        <w:rPr>
          <w:rFonts w:ascii="Calibri" w:hAnsi="Calibri" w:cs="Calibri"/>
          <w:color w:val="000000"/>
          <w:sz w:val="24"/>
        </w:rPr>
        <w:t> </w:t>
      </w:r>
      <w:r w:rsidR="009F7D25" w:rsidRPr="001976B6">
        <w:rPr>
          <w:rFonts w:ascii="Luciole" w:hAnsi="Luciole" w:cs="Calibri"/>
          <w:color w:val="000000"/>
          <w:sz w:val="24"/>
        </w:rPr>
        <w:t>:</w:t>
      </w:r>
    </w:p>
    <w:p w14:paraId="7AF9019A" w14:textId="77777777" w:rsidR="001976B6" w:rsidRDefault="001976B6" w:rsidP="001976B6">
      <w:pPr>
        <w:pStyle w:val="NormalWeb"/>
        <w:spacing w:before="0" w:beforeAutospacing="0" w:after="0" w:afterAutospacing="0"/>
        <w:rPr>
          <w:rFonts w:ascii="Luciole" w:hAnsi="Luciole" w:cs="Calibri"/>
          <w:b/>
          <w:bCs/>
          <w:color w:val="000000"/>
        </w:rPr>
      </w:pPr>
    </w:p>
    <w:p w14:paraId="3DBF6289" w14:textId="77777777" w:rsidR="001976B6" w:rsidRDefault="001976B6" w:rsidP="001976B6">
      <w:pPr>
        <w:pStyle w:val="NormalWeb"/>
        <w:spacing w:before="0" w:beforeAutospacing="0" w:after="0" w:afterAutospacing="0"/>
        <w:rPr>
          <w:rFonts w:ascii="Luciole" w:hAnsi="Luciole" w:cs="Calibri"/>
          <w:b/>
          <w:bCs/>
          <w:color w:val="000000"/>
        </w:rPr>
      </w:pPr>
    </w:p>
    <w:p w14:paraId="723409B1" w14:textId="77777777" w:rsid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Facilitation de l'accès à l'emploi :</w:t>
      </w:r>
      <w:r w:rsidRPr="001976B6">
        <w:rPr>
          <w:rFonts w:ascii="Luciole" w:hAnsi="Luciole" w:cs="Calibri"/>
          <w:b/>
          <w:bCs/>
          <w:color w:val="000000"/>
        </w:rPr>
        <w:br/>
      </w:r>
    </w:p>
    <w:p w14:paraId="0DB0B9FF" w14:textId="5164C908" w:rsidR="00F435C2"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color w:val="000000"/>
        </w:rPr>
        <w:t>L'ATVA propose des programmes qui visent à faciliter l'accès des jeunes handicapés aux opportunités d'emploi, notamment dans les métiers du numérique. L’objectif est de les préparer à intégrer le marché du travail classique grâce à des accompagnements personnalisés et à des formations spécialisées.</w:t>
      </w:r>
    </w:p>
    <w:p w14:paraId="1A6542A8" w14:textId="77777777" w:rsidR="00DF594B" w:rsidRPr="001976B6" w:rsidRDefault="00DF594B" w:rsidP="001976B6">
      <w:pPr>
        <w:pStyle w:val="NormalWeb"/>
        <w:spacing w:before="0" w:beforeAutospacing="0" w:after="0" w:afterAutospacing="0"/>
        <w:rPr>
          <w:rFonts w:ascii="Luciole" w:hAnsi="Luciole" w:cs="Calibri"/>
          <w:color w:val="000000"/>
        </w:rPr>
      </w:pPr>
    </w:p>
    <w:p w14:paraId="39BAEC44" w14:textId="0F8AC4AF" w:rsidR="001976B6" w:rsidRDefault="001976B6">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4145037C" w14:textId="77777777" w:rsid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lastRenderedPageBreak/>
        <w:t>Renforcement des compétences transversales :</w:t>
      </w:r>
      <w:r w:rsidRPr="001976B6">
        <w:rPr>
          <w:rFonts w:ascii="Luciole" w:hAnsi="Luciole" w:cs="Calibri"/>
          <w:b/>
          <w:bCs/>
          <w:color w:val="000000"/>
        </w:rPr>
        <w:br/>
      </w:r>
    </w:p>
    <w:p w14:paraId="4FDC2781" w14:textId="0FA38750" w:rsidR="00F435C2"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color w:val="000000"/>
        </w:rPr>
        <w:t xml:space="preserve">L'ATVA met l'accent sur le développement de compétences transversales, telles que les aptitudes émotionnelles et relationnelles, qui sont essentielles pour s’épanouir </w:t>
      </w:r>
      <w:proofErr w:type="gramStart"/>
      <w:r w:rsidRPr="001976B6">
        <w:rPr>
          <w:rFonts w:ascii="Luciole" w:hAnsi="Luciole" w:cs="Calibri"/>
          <w:color w:val="000000"/>
        </w:rPr>
        <w:t>dans</w:t>
      </w:r>
      <w:proofErr w:type="gramEnd"/>
      <w:r w:rsidRPr="001976B6">
        <w:rPr>
          <w:rFonts w:ascii="Luciole" w:hAnsi="Luciole" w:cs="Calibri"/>
          <w:color w:val="000000"/>
        </w:rPr>
        <w:t xml:space="preserve"> un environnement professionnel varié.</w:t>
      </w:r>
    </w:p>
    <w:p w14:paraId="5306C03F" w14:textId="77777777" w:rsidR="00DF594B" w:rsidRPr="001976B6" w:rsidRDefault="00DF594B" w:rsidP="001976B6">
      <w:pPr>
        <w:pStyle w:val="NormalWeb"/>
        <w:spacing w:before="0" w:beforeAutospacing="0" w:after="0" w:afterAutospacing="0"/>
        <w:rPr>
          <w:rFonts w:ascii="Luciole" w:hAnsi="Luciole" w:cs="Calibri"/>
          <w:color w:val="000000"/>
        </w:rPr>
      </w:pPr>
    </w:p>
    <w:p w14:paraId="450A1F08" w14:textId="77777777" w:rsidR="00DF594B" w:rsidRPr="001976B6" w:rsidRDefault="00DF594B" w:rsidP="001976B6">
      <w:pPr>
        <w:pStyle w:val="NormalWeb"/>
        <w:spacing w:before="0" w:beforeAutospacing="0" w:after="0" w:afterAutospacing="0"/>
        <w:rPr>
          <w:rFonts w:ascii="Luciole" w:hAnsi="Luciole"/>
        </w:rPr>
      </w:pPr>
    </w:p>
    <w:p w14:paraId="228109F4" w14:textId="77777777" w:rsid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Dispositifs institutionnels et aides officielles :</w:t>
      </w:r>
      <w:r w:rsidRPr="001976B6">
        <w:rPr>
          <w:rFonts w:ascii="Luciole" w:hAnsi="Luciole" w:cs="Calibri"/>
          <w:b/>
          <w:bCs/>
          <w:color w:val="000000"/>
        </w:rPr>
        <w:br/>
      </w:r>
    </w:p>
    <w:p w14:paraId="4BE45EB9" w14:textId="4B67AB82" w:rsidR="00F435C2"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color w:val="000000"/>
        </w:rPr>
        <w:t>L'ATVA veille à ce que les dispositifs d’inclusion professionnelle et les aides officielles soient facilement accessibles et adaptés pour soutenir les jeunes en situation de handicap dans leur insertion professionnelle.</w:t>
      </w:r>
    </w:p>
    <w:p w14:paraId="30555032" w14:textId="77777777" w:rsidR="00DF594B" w:rsidRPr="001976B6" w:rsidRDefault="00DF594B" w:rsidP="001976B6">
      <w:pPr>
        <w:pStyle w:val="NormalWeb"/>
        <w:spacing w:before="0" w:beforeAutospacing="0" w:after="0" w:afterAutospacing="0"/>
        <w:rPr>
          <w:rFonts w:ascii="Luciole" w:hAnsi="Luciole" w:cs="Calibri"/>
          <w:color w:val="000000"/>
        </w:rPr>
      </w:pPr>
    </w:p>
    <w:p w14:paraId="53F26348" w14:textId="77777777" w:rsidR="00DF594B" w:rsidRPr="001976B6" w:rsidRDefault="00DF594B" w:rsidP="001976B6">
      <w:pPr>
        <w:pStyle w:val="NormalWeb"/>
        <w:spacing w:before="0" w:beforeAutospacing="0" w:after="0" w:afterAutospacing="0"/>
        <w:rPr>
          <w:rFonts w:ascii="Luciole" w:hAnsi="Luciole"/>
        </w:rPr>
      </w:pPr>
    </w:p>
    <w:p w14:paraId="632B7A35" w14:textId="77777777" w:rsid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Augmentation de la mobilité et de l'accessibilité :</w:t>
      </w:r>
      <w:r w:rsidRPr="001976B6">
        <w:rPr>
          <w:rFonts w:ascii="Luciole" w:hAnsi="Luciole" w:cs="Calibri"/>
          <w:b/>
          <w:bCs/>
          <w:color w:val="000000"/>
        </w:rPr>
        <w:br/>
      </w:r>
    </w:p>
    <w:p w14:paraId="1312B767" w14:textId="15FC373F" w:rsidR="00F435C2" w:rsidRPr="001976B6" w:rsidRDefault="00F435C2" w:rsidP="001976B6">
      <w:pPr>
        <w:pStyle w:val="NormalWeb"/>
        <w:spacing w:before="0" w:beforeAutospacing="0" w:after="0" w:afterAutospacing="0"/>
        <w:rPr>
          <w:rFonts w:ascii="Luciole" w:hAnsi="Luciole"/>
        </w:rPr>
      </w:pPr>
      <w:r w:rsidRPr="001976B6">
        <w:rPr>
          <w:rFonts w:ascii="Luciole" w:hAnsi="Luciole" w:cs="Calibri"/>
          <w:color w:val="000000"/>
        </w:rPr>
        <w:t>L’ATVA contribue à l’amélioration de l’accessibilité des lieux publics et privés afin de faciliter l’accès des jeunes handicapés aux lieux de travail, de formation et d’éducation.</w:t>
      </w:r>
    </w:p>
    <w:p w14:paraId="501295E0" w14:textId="14D7A830" w:rsidR="00F435C2" w:rsidRDefault="00F435C2" w:rsidP="001976B6">
      <w:pPr>
        <w:spacing w:after="0" w:line="240" w:lineRule="auto"/>
        <w:ind w:left="0"/>
        <w:rPr>
          <w:rFonts w:ascii="Luciole" w:hAnsi="Luciole"/>
          <w:sz w:val="24"/>
        </w:rPr>
      </w:pPr>
    </w:p>
    <w:p w14:paraId="07E02642" w14:textId="77777777" w:rsidR="001976B6" w:rsidRPr="001976B6" w:rsidRDefault="001976B6" w:rsidP="001976B6">
      <w:pPr>
        <w:spacing w:after="0" w:line="240" w:lineRule="auto"/>
        <w:ind w:left="0"/>
        <w:rPr>
          <w:rFonts w:ascii="Luciole" w:hAnsi="Luciole"/>
          <w:sz w:val="24"/>
        </w:rPr>
      </w:pPr>
    </w:p>
    <w:p w14:paraId="740C99B3" w14:textId="1F165EC0" w:rsidR="00F435C2" w:rsidRPr="001976B6" w:rsidRDefault="00F435C2" w:rsidP="001976B6">
      <w:pPr>
        <w:pStyle w:val="Titre3"/>
        <w:numPr>
          <w:ilvl w:val="0"/>
          <w:numId w:val="0"/>
        </w:numPr>
        <w:spacing w:before="0" w:after="0" w:line="240" w:lineRule="auto"/>
        <w:rPr>
          <w:rFonts w:ascii="Luciole" w:hAnsi="Luciole"/>
          <w:sz w:val="24"/>
        </w:rPr>
      </w:pPr>
      <w:r w:rsidRPr="001976B6">
        <w:rPr>
          <w:rFonts w:ascii="Luciole" w:hAnsi="Luciole" w:cs="Calibri"/>
          <w:color w:val="000000"/>
          <w:sz w:val="24"/>
        </w:rPr>
        <w:t>PRODUITS / RÉSULTATS</w:t>
      </w:r>
      <w:r w:rsidR="009F7D25" w:rsidRPr="001976B6">
        <w:rPr>
          <w:rFonts w:ascii="Calibri" w:hAnsi="Calibri" w:cs="Calibri"/>
          <w:color w:val="000000"/>
          <w:sz w:val="24"/>
        </w:rPr>
        <w:t> </w:t>
      </w:r>
      <w:r w:rsidR="009F7D25" w:rsidRPr="001976B6">
        <w:rPr>
          <w:rFonts w:ascii="Luciole" w:hAnsi="Luciole" w:cs="Calibri"/>
          <w:color w:val="000000"/>
          <w:sz w:val="24"/>
        </w:rPr>
        <w:t>:</w:t>
      </w:r>
    </w:p>
    <w:p w14:paraId="3D28788F" w14:textId="77777777" w:rsidR="001976B6" w:rsidRDefault="001976B6" w:rsidP="001976B6">
      <w:pPr>
        <w:pStyle w:val="NormalWeb"/>
        <w:spacing w:before="0" w:beforeAutospacing="0" w:after="0" w:afterAutospacing="0"/>
        <w:rPr>
          <w:rFonts w:ascii="Luciole" w:hAnsi="Luciole" w:cs="Calibri"/>
          <w:b/>
          <w:bCs/>
          <w:color w:val="000000"/>
        </w:rPr>
      </w:pPr>
    </w:p>
    <w:p w14:paraId="54A5E3D5" w14:textId="77777777" w:rsidR="001976B6" w:rsidRDefault="001976B6" w:rsidP="001976B6">
      <w:pPr>
        <w:pStyle w:val="NormalWeb"/>
        <w:spacing w:before="0" w:beforeAutospacing="0" w:after="0" w:afterAutospacing="0"/>
        <w:rPr>
          <w:rFonts w:ascii="Luciole" w:hAnsi="Luciole" w:cs="Calibri"/>
          <w:b/>
          <w:bCs/>
          <w:color w:val="000000"/>
        </w:rPr>
      </w:pPr>
    </w:p>
    <w:p w14:paraId="7B225311" w14:textId="77777777" w:rsid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Type de produit :</w:t>
      </w:r>
      <w:r w:rsidRPr="001976B6">
        <w:rPr>
          <w:rFonts w:ascii="Luciole" w:hAnsi="Luciole" w:cs="Calibri"/>
          <w:b/>
          <w:bCs/>
          <w:color w:val="000000"/>
        </w:rPr>
        <w:br/>
      </w:r>
    </w:p>
    <w:p w14:paraId="22715460" w14:textId="6ED9BA92" w:rsidR="00F435C2"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color w:val="000000"/>
        </w:rPr>
        <w:t>Matériel, ressources en ligne, logiciels, vidéos/films, cours/formations, etc.</w:t>
      </w:r>
    </w:p>
    <w:p w14:paraId="305BE38C" w14:textId="77777777" w:rsidR="00DF594B" w:rsidRPr="001976B6" w:rsidRDefault="00DF594B" w:rsidP="001976B6">
      <w:pPr>
        <w:pStyle w:val="NormalWeb"/>
        <w:spacing w:before="0" w:beforeAutospacing="0" w:after="0" w:afterAutospacing="0"/>
        <w:rPr>
          <w:rFonts w:ascii="Luciole" w:hAnsi="Luciole" w:cs="Calibri"/>
          <w:color w:val="000000"/>
        </w:rPr>
      </w:pPr>
    </w:p>
    <w:p w14:paraId="50354ED8" w14:textId="21BB24E3" w:rsidR="001976B6" w:rsidRDefault="001976B6">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2382EE09" w14:textId="77777777" w:rsidR="00DF594B" w:rsidRPr="001976B6" w:rsidRDefault="00DF594B" w:rsidP="001976B6">
      <w:pPr>
        <w:pStyle w:val="NormalWeb"/>
        <w:spacing w:before="0" w:beforeAutospacing="0" w:after="0" w:afterAutospacing="0"/>
        <w:rPr>
          <w:rFonts w:ascii="Luciole" w:hAnsi="Luciole"/>
        </w:rPr>
      </w:pPr>
      <w:bookmarkStart w:id="0" w:name="_GoBack"/>
      <w:bookmarkEnd w:id="0"/>
    </w:p>
    <w:p w14:paraId="31D75592" w14:textId="77777777" w:rsid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Brève description :</w:t>
      </w:r>
      <w:r w:rsidRPr="001976B6">
        <w:rPr>
          <w:rFonts w:ascii="Luciole" w:hAnsi="Luciole" w:cs="Calibri"/>
          <w:b/>
          <w:bCs/>
          <w:color w:val="000000"/>
        </w:rPr>
        <w:br/>
      </w:r>
    </w:p>
    <w:p w14:paraId="70BEB386" w14:textId="2CFA967C" w:rsidR="00F435C2" w:rsidRPr="001976B6" w:rsidRDefault="00F435C2" w:rsidP="001976B6">
      <w:pPr>
        <w:pStyle w:val="NormalWeb"/>
        <w:spacing w:before="0" w:beforeAutospacing="0" w:after="0" w:afterAutospacing="0"/>
        <w:rPr>
          <w:rFonts w:ascii="Luciole" w:hAnsi="Luciole"/>
        </w:rPr>
      </w:pPr>
      <w:r w:rsidRPr="001976B6">
        <w:rPr>
          <w:rFonts w:ascii="Luciole" w:hAnsi="Luciole" w:cs="Calibri"/>
          <w:color w:val="000000"/>
        </w:rPr>
        <w:t>L'ATVA a développé plusieurs outils et ressources pour accompagner les jeunes dans leur transition. Ces produits incluent des sessions de coaching en ligne, des vidéos de formation, des logiciels pour aider à la planification de carrière, ainsi que des cours en ligne sur le développement de compétences pour une vie autonome.</w:t>
      </w:r>
    </w:p>
    <w:p w14:paraId="5EFA14EA" w14:textId="59465EDD" w:rsidR="00F435C2" w:rsidRDefault="00F435C2" w:rsidP="001976B6">
      <w:pPr>
        <w:spacing w:after="0" w:line="240" w:lineRule="auto"/>
        <w:ind w:left="0"/>
        <w:rPr>
          <w:rFonts w:ascii="Luciole" w:hAnsi="Luciole"/>
          <w:sz w:val="24"/>
        </w:rPr>
      </w:pPr>
    </w:p>
    <w:p w14:paraId="246BE1B9" w14:textId="77777777" w:rsidR="001976B6" w:rsidRPr="001976B6" w:rsidRDefault="001976B6" w:rsidP="001976B6">
      <w:pPr>
        <w:spacing w:after="0" w:line="240" w:lineRule="auto"/>
        <w:ind w:left="0"/>
        <w:rPr>
          <w:rFonts w:ascii="Luciole" w:hAnsi="Luciole"/>
          <w:sz w:val="24"/>
        </w:rPr>
      </w:pPr>
    </w:p>
    <w:p w14:paraId="3B012AF4" w14:textId="70494902" w:rsidR="00F435C2" w:rsidRPr="001976B6" w:rsidRDefault="00F435C2" w:rsidP="001976B6">
      <w:pPr>
        <w:pStyle w:val="Titre3"/>
        <w:numPr>
          <w:ilvl w:val="0"/>
          <w:numId w:val="0"/>
        </w:numPr>
        <w:spacing w:before="0" w:after="0" w:line="240" w:lineRule="auto"/>
        <w:rPr>
          <w:rFonts w:ascii="Luciole" w:hAnsi="Luciole"/>
          <w:sz w:val="24"/>
        </w:rPr>
      </w:pPr>
      <w:r w:rsidRPr="001976B6">
        <w:rPr>
          <w:rFonts w:ascii="Luciole" w:hAnsi="Luciole" w:cs="Calibri"/>
          <w:color w:val="000000"/>
          <w:sz w:val="24"/>
        </w:rPr>
        <w:t>IMPACT ET TRANSFÉRABILITÉ</w:t>
      </w:r>
      <w:r w:rsidR="009F7D25" w:rsidRPr="001976B6">
        <w:rPr>
          <w:rFonts w:ascii="Calibri" w:hAnsi="Calibri" w:cs="Calibri"/>
          <w:color w:val="000000"/>
          <w:sz w:val="24"/>
        </w:rPr>
        <w:t> </w:t>
      </w:r>
      <w:r w:rsidR="009F7D25" w:rsidRPr="001976B6">
        <w:rPr>
          <w:rFonts w:ascii="Luciole" w:hAnsi="Luciole" w:cs="Calibri"/>
          <w:color w:val="000000"/>
          <w:sz w:val="24"/>
        </w:rPr>
        <w:t>:</w:t>
      </w:r>
    </w:p>
    <w:p w14:paraId="59BF4568" w14:textId="77777777" w:rsidR="001976B6" w:rsidRDefault="001976B6" w:rsidP="001976B6">
      <w:pPr>
        <w:pStyle w:val="NormalWeb"/>
        <w:spacing w:before="0" w:beforeAutospacing="0" w:after="0" w:afterAutospacing="0"/>
        <w:rPr>
          <w:rFonts w:ascii="Luciole" w:hAnsi="Luciole" w:cs="Calibri"/>
          <w:b/>
          <w:bCs/>
          <w:color w:val="000000"/>
        </w:rPr>
      </w:pPr>
    </w:p>
    <w:p w14:paraId="19D68066" w14:textId="77777777" w:rsidR="001976B6" w:rsidRDefault="001976B6" w:rsidP="001976B6">
      <w:pPr>
        <w:pStyle w:val="NormalWeb"/>
        <w:spacing w:before="0" w:beforeAutospacing="0" w:after="0" w:afterAutospacing="0"/>
        <w:rPr>
          <w:rFonts w:ascii="Luciole" w:hAnsi="Luciole" w:cs="Calibri"/>
          <w:b/>
          <w:bCs/>
          <w:color w:val="000000"/>
        </w:rPr>
      </w:pPr>
    </w:p>
    <w:p w14:paraId="550885D2" w14:textId="77777777" w:rsid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Impact sur les groupes cibles :</w:t>
      </w:r>
      <w:r w:rsidRPr="001976B6">
        <w:rPr>
          <w:rFonts w:ascii="Luciole" w:hAnsi="Luciole" w:cs="Calibri"/>
          <w:b/>
          <w:bCs/>
          <w:color w:val="000000"/>
        </w:rPr>
        <w:br/>
      </w:r>
    </w:p>
    <w:p w14:paraId="36D9933B" w14:textId="4302AF0B" w:rsidR="00F435C2" w:rsidRPr="001976B6" w:rsidRDefault="00F435C2" w:rsidP="001976B6">
      <w:pPr>
        <w:pStyle w:val="NormalWeb"/>
        <w:spacing w:before="0" w:beforeAutospacing="0" w:after="0" w:afterAutospacing="0"/>
        <w:rPr>
          <w:rFonts w:ascii="Luciole" w:hAnsi="Luciole" w:cs="Calibri"/>
          <w:color w:val="000000"/>
        </w:rPr>
      </w:pPr>
      <w:r w:rsidRPr="001976B6">
        <w:rPr>
          <w:rFonts w:ascii="Luciole" w:hAnsi="Luciole" w:cs="Calibri"/>
          <w:color w:val="000000"/>
        </w:rPr>
        <w:t xml:space="preserve">L’initiative de l'ATVA a grandement facilité l’intégration professionnelle des jeunes </w:t>
      </w:r>
      <w:proofErr w:type="gramStart"/>
      <w:r w:rsidRPr="001976B6">
        <w:rPr>
          <w:rFonts w:ascii="Luciole" w:hAnsi="Luciole" w:cs="Calibri"/>
          <w:color w:val="000000"/>
        </w:rPr>
        <w:t>en</w:t>
      </w:r>
      <w:proofErr w:type="gramEnd"/>
      <w:r w:rsidRPr="001976B6">
        <w:rPr>
          <w:rFonts w:ascii="Luciole" w:hAnsi="Luciole" w:cs="Calibri"/>
          <w:color w:val="000000"/>
        </w:rPr>
        <w:t xml:space="preserve"> situation de handicap. Grâce à un accompagnement sur mesure, une collaboration étroite avec les écoles et les centres de compétences, et la mise en place de réseaux de soutien, ces jeunes ont pu mieux naviguer vers une vie autonome et active.</w:t>
      </w:r>
    </w:p>
    <w:p w14:paraId="281E9E45" w14:textId="77777777" w:rsidR="00DF594B" w:rsidRPr="001976B6" w:rsidRDefault="00DF594B" w:rsidP="001976B6">
      <w:pPr>
        <w:pStyle w:val="NormalWeb"/>
        <w:spacing w:before="0" w:beforeAutospacing="0" w:after="0" w:afterAutospacing="0"/>
        <w:rPr>
          <w:rFonts w:ascii="Luciole" w:hAnsi="Luciole" w:cs="Calibri"/>
          <w:color w:val="000000"/>
        </w:rPr>
      </w:pPr>
    </w:p>
    <w:p w14:paraId="39AA82D3" w14:textId="77777777" w:rsidR="00DF594B" w:rsidRPr="001976B6" w:rsidRDefault="00DF594B" w:rsidP="001976B6">
      <w:pPr>
        <w:pStyle w:val="NormalWeb"/>
        <w:spacing w:before="0" w:beforeAutospacing="0" w:after="0" w:afterAutospacing="0"/>
        <w:rPr>
          <w:rFonts w:ascii="Luciole" w:hAnsi="Luciole"/>
        </w:rPr>
      </w:pPr>
    </w:p>
    <w:p w14:paraId="59020619" w14:textId="77777777" w:rsidR="001976B6" w:rsidRDefault="009F7D25" w:rsidP="001976B6">
      <w:pPr>
        <w:pStyle w:val="NormalWeb"/>
        <w:spacing w:before="0" w:beforeAutospacing="0" w:after="0" w:afterAutospacing="0"/>
        <w:rPr>
          <w:rFonts w:ascii="Luciole" w:hAnsi="Luciole" w:cs="Calibri"/>
          <w:color w:val="000000"/>
        </w:rPr>
      </w:pPr>
      <w:r w:rsidRPr="001976B6">
        <w:rPr>
          <w:rFonts w:ascii="Luciole" w:hAnsi="Luciole" w:cs="Calibri"/>
          <w:b/>
          <w:bCs/>
          <w:color w:val="000000"/>
        </w:rPr>
        <w:t>Autre</w:t>
      </w:r>
      <w:r w:rsidR="00F435C2" w:rsidRPr="001976B6">
        <w:rPr>
          <w:rFonts w:ascii="Luciole" w:hAnsi="Luciole" w:cs="Calibri"/>
          <w:b/>
          <w:bCs/>
          <w:color w:val="000000"/>
        </w:rPr>
        <w:t xml:space="preserve"> description :</w:t>
      </w:r>
      <w:r w:rsidR="00F435C2" w:rsidRPr="001976B6">
        <w:rPr>
          <w:rFonts w:ascii="Luciole" w:hAnsi="Luciole" w:cs="Calibri"/>
          <w:b/>
          <w:bCs/>
          <w:color w:val="000000"/>
        </w:rPr>
        <w:br/>
      </w:r>
    </w:p>
    <w:p w14:paraId="53F207F0" w14:textId="3DB0C366" w:rsidR="00F435C2" w:rsidRPr="001976B6" w:rsidRDefault="00F435C2" w:rsidP="001976B6">
      <w:pPr>
        <w:pStyle w:val="NormalWeb"/>
        <w:spacing w:before="0" w:beforeAutospacing="0" w:after="0" w:afterAutospacing="0"/>
        <w:rPr>
          <w:rFonts w:ascii="Luciole" w:hAnsi="Luciole"/>
        </w:rPr>
      </w:pPr>
      <w:r w:rsidRPr="001976B6">
        <w:rPr>
          <w:rFonts w:ascii="Luciole" w:hAnsi="Luciole" w:cs="Calibri"/>
          <w:color w:val="000000"/>
        </w:rPr>
        <w:t>La méthodologie mise en place par l'ATVA est facilement adaptable et transférable dans d’autres contextes ou régions. Les programmes de coaching, les collaborations entre institutions et les formations spécialisées peuvent être adaptés pour répondre aux besoins des jeunes en situation de handicap dans différents cadres éducatifs et sociaux.</w:t>
      </w:r>
    </w:p>
    <w:p w14:paraId="2D0E81FF" w14:textId="7E63DF6A" w:rsidR="00777167" w:rsidRPr="001976B6" w:rsidRDefault="00777167" w:rsidP="001976B6">
      <w:pPr>
        <w:spacing w:after="0" w:line="240" w:lineRule="auto"/>
        <w:ind w:left="0"/>
        <w:rPr>
          <w:rFonts w:ascii="Luciole" w:hAnsi="Luciole"/>
          <w:sz w:val="24"/>
        </w:rPr>
      </w:pPr>
    </w:p>
    <w:sectPr w:rsidR="00777167" w:rsidRPr="001976B6"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EE7DA" w14:textId="77777777" w:rsidR="00C62B68" w:rsidRDefault="00C62B68" w:rsidP="008D2C54">
      <w:r>
        <w:separator/>
      </w:r>
    </w:p>
  </w:endnote>
  <w:endnote w:type="continuationSeparator" w:id="0">
    <w:p w14:paraId="58A96AEC" w14:textId="77777777" w:rsidR="00C62B68" w:rsidRDefault="00C62B68"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077FC82F-AB25-4B65-B06D-F289AFDF53EC}"/>
    <w:embedBold r:id="rId2" w:fontKey="{0157D36D-167B-43E1-A26F-92F5E21A5DA1}"/>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45EE837D-470D-46AE-8944-AA5C030A8F16}"/>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1976B6">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72F7" w14:textId="77777777" w:rsidR="00C62B68" w:rsidRDefault="00C62B68" w:rsidP="008D2C54">
      <w:r>
        <w:separator/>
      </w:r>
    </w:p>
  </w:footnote>
  <w:footnote w:type="continuationSeparator" w:id="0">
    <w:p w14:paraId="58181C66" w14:textId="77777777" w:rsidR="00C62B68" w:rsidRDefault="00C62B68"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1976B6">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0912D1"/>
    <w:multiLevelType w:val="multilevel"/>
    <w:tmpl w:val="3DA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6"/>
  </w:num>
  <w:num w:numId="3">
    <w:abstractNumId w:val="13"/>
  </w:num>
  <w:num w:numId="4">
    <w:abstractNumId w:val="27"/>
  </w:num>
  <w:num w:numId="5">
    <w:abstractNumId w:val="2"/>
  </w:num>
  <w:num w:numId="6">
    <w:abstractNumId w:val="3"/>
  </w:num>
  <w:num w:numId="7">
    <w:abstractNumId w:val="23"/>
  </w:num>
  <w:num w:numId="8">
    <w:abstractNumId w:val="29"/>
  </w:num>
  <w:num w:numId="9">
    <w:abstractNumId w:val="8"/>
  </w:num>
  <w:num w:numId="10">
    <w:abstractNumId w:val="20"/>
  </w:num>
  <w:num w:numId="11">
    <w:abstractNumId w:val="22"/>
  </w:num>
  <w:num w:numId="12">
    <w:abstractNumId w:val="9"/>
  </w:num>
  <w:num w:numId="13">
    <w:abstractNumId w:val="1"/>
  </w:num>
  <w:num w:numId="14">
    <w:abstractNumId w:val="30"/>
  </w:num>
  <w:num w:numId="15">
    <w:abstractNumId w:val="12"/>
  </w:num>
  <w:num w:numId="16">
    <w:abstractNumId w:val="0"/>
  </w:num>
  <w:num w:numId="17">
    <w:abstractNumId w:val="18"/>
  </w:num>
  <w:num w:numId="18">
    <w:abstractNumId w:val="25"/>
  </w:num>
  <w:num w:numId="19">
    <w:abstractNumId w:val="10"/>
  </w:num>
  <w:num w:numId="20">
    <w:abstractNumId w:val="19"/>
  </w:num>
  <w:num w:numId="21">
    <w:abstractNumId w:val="6"/>
  </w:num>
  <w:num w:numId="22">
    <w:abstractNumId w:val="16"/>
  </w:num>
  <w:num w:numId="23">
    <w:abstractNumId w:val="21"/>
  </w:num>
  <w:num w:numId="24">
    <w:abstractNumId w:val="11"/>
  </w:num>
  <w:num w:numId="25">
    <w:abstractNumId w:val="17"/>
  </w:num>
  <w:num w:numId="26">
    <w:abstractNumId w:val="4"/>
  </w:num>
  <w:num w:numId="27">
    <w:abstractNumId w:val="15"/>
  </w:num>
  <w:num w:numId="28">
    <w:abstractNumId w:val="7"/>
  </w:num>
  <w:num w:numId="29">
    <w:abstractNumId w:val="5"/>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125850"/>
    <w:rsid w:val="001976B6"/>
    <w:rsid w:val="001B002B"/>
    <w:rsid w:val="001C06E4"/>
    <w:rsid w:val="002052FF"/>
    <w:rsid w:val="00283099"/>
    <w:rsid w:val="00295C02"/>
    <w:rsid w:val="002E1F33"/>
    <w:rsid w:val="002F109E"/>
    <w:rsid w:val="003058F9"/>
    <w:rsid w:val="00344B35"/>
    <w:rsid w:val="00357120"/>
    <w:rsid w:val="00361213"/>
    <w:rsid w:val="003748C3"/>
    <w:rsid w:val="003E67EF"/>
    <w:rsid w:val="00435290"/>
    <w:rsid w:val="0043677B"/>
    <w:rsid w:val="0049728F"/>
    <w:rsid w:val="004B742E"/>
    <w:rsid w:val="004C45B6"/>
    <w:rsid w:val="004D7D3D"/>
    <w:rsid w:val="004F69D1"/>
    <w:rsid w:val="00533A90"/>
    <w:rsid w:val="005B47C7"/>
    <w:rsid w:val="005B4967"/>
    <w:rsid w:val="00614ECC"/>
    <w:rsid w:val="006C2583"/>
    <w:rsid w:val="006C5B7A"/>
    <w:rsid w:val="006D53CC"/>
    <w:rsid w:val="00714AE0"/>
    <w:rsid w:val="00777167"/>
    <w:rsid w:val="007A1FBB"/>
    <w:rsid w:val="007D6C46"/>
    <w:rsid w:val="008657EB"/>
    <w:rsid w:val="00875269"/>
    <w:rsid w:val="008B2213"/>
    <w:rsid w:val="008D2C54"/>
    <w:rsid w:val="008D7634"/>
    <w:rsid w:val="00967BB0"/>
    <w:rsid w:val="009E18D8"/>
    <w:rsid w:val="009F7D25"/>
    <w:rsid w:val="00A26B77"/>
    <w:rsid w:val="00A56FB1"/>
    <w:rsid w:val="00A768BD"/>
    <w:rsid w:val="00AE07A3"/>
    <w:rsid w:val="00AF5BF2"/>
    <w:rsid w:val="00B075B0"/>
    <w:rsid w:val="00B143B2"/>
    <w:rsid w:val="00B93ED7"/>
    <w:rsid w:val="00B97622"/>
    <w:rsid w:val="00BD54E6"/>
    <w:rsid w:val="00C13CAA"/>
    <w:rsid w:val="00C62B68"/>
    <w:rsid w:val="00C72994"/>
    <w:rsid w:val="00C976F9"/>
    <w:rsid w:val="00CE6F36"/>
    <w:rsid w:val="00D41596"/>
    <w:rsid w:val="00D82191"/>
    <w:rsid w:val="00D93F3C"/>
    <w:rsid w:val="00DC1BEB"/>
    <w:rsid w:val="00DF594B"/>
    <w:rsid w:val="00E936A3"/>
    <w:rsid w:val="00ED1093"/>
    <w:rsid w:val="00ED3DDF"/>
    <w:rsid w:val="00F07106"/>
    <w:rsid w:val="00F430B8"/>
    <w:rsid w:val="00F435C2"/>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19753">
      <w:bodyDiv w:val="1"/>
      <w:marLeft w:val="0"/>
      <w:marRight w:val="0"/>
      <w:marTop w:val="0"/>
      <w:marBottom w:val="0"/>
      <w:divBdr>
        <w:top w:val="none" w:sz="0" w:space="0" w:color="auto"/>
        <w:left w:val="none" w:sz="0" w:space="0" w:color="auto"/>
        <w:bottom w:val="none" w:sz="0" w:space="0" w:color="auto"/>
        <w:right w:val="none" w:sz="0" w:space="0" w:color="auto"/>
      </w:divBdr>
    </w:div>
    <w:div w:id="753936699">
      <w:bodyDiv w:val="1"/>
      <w:marLeft w:val="0"/>
      <w:marRight w:val="0"/>
      <w:marTop w:val="0"/>
      <w:marBottom w:val="0"/>
      <w:divBdr>
        <w:top w:val="none" w:sz="0" w:space="0" w:color="auto"/>
        <w:left w:val="none" w:sz="0" w:space="0" w:color="auto"/>
        <w:bottom w:val="none" w:sz="0" w:space="0" w:color="auto"/>
        <w:right w:val="none" w:sz="0" w:space="0" w:color="auto"/>
      </w:divBdr>
    </w:div>
    <w:div w:id="9387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va.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C30E-0D69-4E9E-9466-7644D875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13</TotalTime>
  <Pages>6</Pages>
  <Words>816</Words>
  <Characters>4493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2024-12-28T14:04:00Z</dcterms:created>
  <dcterms:modified xsi:type="dcterms:W3CDTF">2024-12-30T14:18:00Z</dcterms:modified>
</cp:coreProperties>
</file>