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D739" w14:textId="77777777" w:rsidR="004D6345" w:rsidRPr="0057796D" w:rsidRDefault="004D6345" w:rsidP="0057796D">
      <w:pPr>
        <w:pStyle w:val="TitreDocument"/>
        <w:spacing w:before="0" w:after="0" w:line="240" w:lineRule="auto"/>
        <w:rPr>
          <w:szCs w:val="24"/>
        </w:rPr>
      </w:pPr>
      <w:r w:rsidRPr="0057796D">
        <w:rPr>
          <w:szCs w:val="24"/>
        </w:rPr>
        <w:t>E-HANDI TOUR GUIDE DE L’INCLUSION INNOVANTE DES PSDH</w:t>
      </w:r>
    </w:p>
    <w:p w14:paraId="6D48A089" w14:textId="77777777" w:rsidR="0057796D" w:rsidRDefault="0057796D" w:rsidP="0057796D">
      <w:pPr>
        <w:pStyle w:val="TitreDocument"/>
        <w:spacing w:before="0" w:after="0" w:line="240" w:lineRule="auto"/>
        <w:rPr>
          <w:szCs w:val="24"/>
        </w:rPr>
      </w:pPr>
    </w:p>
    <w:p w14:paraId="037B786F" w14:textId="77777777" w:rsidR="004D6345" w:rsidRPr="0057796D" w:rsidRDefault="004D6345" w:rsidP="0057796D">
      <w:pPr>
        <w:pStyle w:val="TitreDocument"/>
        <w:spacing w:before="0" w:after="0" w:line="240" w:lineRule="auto"/>
        <w:rPr>
          <w:color w:val="000000" w:themeColor="text1"/>
          <w:szCs w:val="24"/>
        </w:rPr>
      </w:pPr>
      <w:proofErr w:type="spellStart"/>
      <w:r w:rsidRPr="0057796D">
        <w:rPr>
          <w:color w:val="000000" w:themeColor="text1"/>
          <w:szCs w:val="24"/>
        </w:rPr>
        <w:t>Thalent</w:t>
      </w:r>
      <w:proofErr w:type="spellEnd"/>
      <w:r w:rsidRPr="0057796D">
        <w:rPr>
          <w:color w:val="000000" w:themeColor="text1"/>
          <w:szCs w:val="24"/>
        </w:rPr>
        <w:t xml:space="preserve"> Digital</w:t>
      </w:r>
    </w:p>
    <w:p w14:paraId="5C88D2FF" w14:textId="77777777" w:rsidR="0057796D" w:rsidRDefault="0057796D" w:rsidP="0057796D">
      <w:pPr>
        <w:pStyle w:val="TitreDocument"/>
        <w:spacing w:before="0" w:after="0" w:line="240" w:lineRule="auto"/>
        <w:jc w:val="left"/>
        <w:rPr>
          <w:szCs w:val="24"/>
        </w:rPr>
      </w:pPr>
    </w:p>
    <w:p w14:paraId="081373A8" w14:textId="77777777" w:rsidR="0057796D" w:rsidRPr="0057796D" w:rsidRDefault="0057796D" w:rsidP="0057796D">
      <w:pPr>
        <w:pStyle w:val="TitreDocument"/>
        <w:spacing w:before="0" w:after="0" w:line="240" w:lineRule="auto"/>
        <w:jc w:val="left"/>
        <w:rPr>
          <w:szCs w:val="24"/>
        </w:rPr>
      </w:pPr>
    </w:p>
    <w:p w14:paraId="14848AE8" w14:textId="4CDC5335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Promoteur de l'initiative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30E5CE27" w14:textId="77777777" w:rsidR="0057796D" w:rsidRDefault="0057796D" w:rsidP="0057796D">
      <w:pPr>
        <w:pStyle w:val="CelluleTableau"/>
        <w:spacing w:line="240" w:lineRule="auto"/>
        <w:ind w:left="0" w:right="0"/>
        <w:rPr>
          <w:rFonts w:eastAsiaTheme="minorEastAsia"/>
        </w:rPr>
      </w:pPr>
    </w:p>
    <w:p w14:paraId="3848C22F" w14:textId="3BD1A0A7" w:rsidR="004D6345" w:rsidRPr="0057796D" w:rsidRDefault="004D6345" w:rsidP="0057796D">
      <w:pPr>
        <w:pStyle w:val="CelluleTableau"/>
        <w:spacing w:line="240" w:lineRule="auto"/>
        <w:ind w:left="0" w:right="0"/>
        <w:rPr>
          <w:rFonts w:eastAsiaTheme="minorEastAsia"/>
        </w:rPr>
      </w:pPr>
      <w:r w:rsidRPr="0057796D">
        <w:rPr>
          <w:rFonts w:eastAsiaTheme="minorEastAsia"/>
        </w:rPr>
        <w:t>AGEFIPH</w:t>
      </w:r>
    </w:p>
    <w:p w14:paraId="7B228A67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43B79F1E" w14:textId="7837E68D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Pays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77248242" w14:textId="77777777" w:rsidR="0057796D" w:rsidRDefault="0057796D" w:rsidP="0057796D">
      <w:pPr>
        <w:pStyle w:val="CelluleTableau"/>
        <w:spacing w:line="240" w:lineRule="auto"/>
        <w:ind w:left="0" w:right="0"/>
        <w:rPr>
          <w:rFonts w:eastAsiaTheme="minorEastAsia"/>
        </w:rPr>
      </w:pPr>
    </w:p>
    <w:p w14:paraId="5A4E5612" w14:textId="2EF68E23" w:rsidR="004D6345" w:rsidRPr="0057796D" w:rsidRDefault="004D6345" w:rsidP="0057796D">
      <w:pPr>
        <w:pStyle w:val="CelluleTableau"/>
        <w:spacing w:line="240" w:lineRule="auto"/>
        <w:ind w:left="0" w:right="0"/>
        <w:rPr>
          <w:rFonts w:eastAsiaTheme="minorEastAsia"/>
        </w:rPr>
      </w:pPr>
      <w:r w:rsidRPr="0057796D">
        <w:rPr>
          <w:rFonts w:eastAsiaTheme="minorEastAsia"/>
        </w:rPr>
        <w:t>France</w:t>
      </w:r>
    </w:p>
    <w:p w14:paraId="4EA60D18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6E28C5CA" w14:textId="77777777" w:rsid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Site internet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74E3F465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0A48D7F2" w14:textId="2D38BE29" w:rsidR="004D6345" w:rsidRPr="0057796D" w:rsidRDefault="005E12C5" w:rsidP="0057796D">
      <w:pPr>
        <w:pStyle w:val="EnteteTableau"/>
        <w:numPr>
          <w:ilvl w:val="0"/>
          <w:numId w:val="0"/>
        </w:numPr>
        <w:spacing w:before="0" w:after="0"/>
      </w:pPr>
      <w:hyperlink r:id="rId8" w:tooltip="Site internet de Thalent digital" w:history="1">
        <w:r w:rsidR="004D6345" w:rsidRPr="0057796D">
          <w:rPr>
            <w:rStyle w:val="Lienhypertexte"/>
            <w:rFonts w:eastAsiaTheme="minorEastAsia"/>
          </w:rPr>
          <w:t>https://www.thalent-digital.fr</w:t>
        </w:r>
      </w:hyperlink>
    </w:p>
    <w:p w14:paraId="6823CE29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58799804" w14:textId="77777777" w:rsidR="001B618F" w:rsidRPr="0057796D" w:rsidRDefault="001B618F" w:rsidP="0057796D">
      <w:pPr>
        <w:pStyle w:val="EnteteTableau"/>
        <w:numPr>
          <w:ilvl w:val="0"/>
          <w:numId w:val="0"/>
        </w:numPr>
        <w:spacing w:before="0" w:after="0"/>
        <w:ind w:hanging="357"/>
      </w:pPr>
    </w:p>
    <w:p w14:paraId="1386D4AF" w14:textId="15359178" w:rsidR="004D6345" w:rsidRPr="0057796D" w:rsidRDefault="004D6345" w:rsidP="0057796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57796D">
        <w:rPr>
          <w:szCs w:val="24"/>
        </w:rPr>
        <w:t>DETAIL DE L’INITIATIVE</w:t>
      </w:r>
      <w:r w:rsidR="001B618F" w:rsidRPr="0057796D">
        <w:rPr>
          <w:rFonts w:ascii="Calibri" w:hAnsi="Calibri" w:cs="Calibri"/>
          <w:szCs w:val="24"/>
        </w:rPr>
        <w:t> </w:t>
      </w:r>
      <w:r w:rsidR="001B618F" w:rsidRPr="0057796D">
        <w:rPr>
          <w:szCs w:val="24"/>
        </w:rPr>
        <w:t>:</w:t>
      </w:r>
    </w:p>
    <w:p w14:paraId="40A8E452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2A4BE712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4927B3D3" w14:textId="675618AC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Année(s) de mise en œuvre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3CEC69BE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132A77A1" w14:textId="50B61CDB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Début en 2021</w:t>
      </w:r>
      <w:r w:rsidR="001B618F" w:rsidRPr="0057796D">
        <w:t>.</w:t>
      </w:r>
    </w:p>
    <w:p w14:paraId="6CFD691B" w14:textId="77777777" w:rsidR="001B618F" w:rsidRDefault="001B618F" w:rsidP="0057796D">
      <w:pPr>
        <w:pStyle w:val="CelluleTableau"/>
        <w:spacing w:line="240" w:lineRule="auto"/>
        <w:ind w:left="0" w:right="0"/>
      </w:pPr>
    </w:p>
    <w:p w14:paraId="4FF09CEF" w14:textId="77777777" w:rsidR="0057796D" w:rsidRPr="0057796D" w:rsidRDefault="0057796D" w:rsidP="0057796D">
      <w:pPr>
        <w:pStyle w:val="CelluleTableau"/>
        <w:spacing w:line="240" w:lineRule="auto"/>
        <w:ind w:left="0" w:right="0"/>
      </w:pPr>
    </w:p>
    <w:p w14:paraId="5F3C0406" w14:textId="77777777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Groupe(s) cible(s) :</w:t>
      </w:r>
    </w:p>
    <w:p w14:paraId="54A16D72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1C733E49" w14:textId="7755BA61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Personnes en situation de handicap intéressées par le secteur numérique</w:t>
      </w:r>
      <w:r w:rsidR="001B618F" w:rsidRPr="0057796D">
        <w:t>.</w:t>
      </w:r>
    </w:p>
    <w:p w14:paraId="55C0EA96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757DD4B2" w14:textId="5CC15397" w:rsidR="0057796D" w:rsidRDefault="0057796D">
      <w:pPr>
        <w:rPr>
          <w:rFonts w:eastAsia="Times New Roman" w:cs="Times New Roman"/>
        </w:rPr>
      </w:pPr>
      <w:r>
        <w:br w:type="page"/>
      </w:r>
    </w:p>
    <w:p w14:paraId="7FB0AEBA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0C2943C6" w14:textId="4C46991C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Description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382C24D6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2619C0D3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proofErr w:type="spellStart"/>
      <w:r w:rsidRPr="0057796D">
        <w:t>Thalent</w:t>
      </w:r>
      <w:proofErr w:type="spellEnd"/>
      <w:r w:rsidRPr="0057796D">
        <w:t xml:space="preserve"> Digital est un programme visant à améliorer l'insertion professionnelle des personnes handicapées dans le secteur numérique par des formations spécialisées et un accompagnement renforcé.</w:t>
      </w:r>
    </w:p>
    <w:p w14:paraId="4B6C9D57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20DCE81A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507137A" w14:textId="0DE2BE12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Méthodologie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108DE49C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2D5697D1" w14:textId="51BB5B4C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Le programme utilise une approche intégrée qui combine formation professionnelle, sensibilisation, et accompagnement post-formation pour faciliter l'intégration durable dans le milieu professionnel.</w:t>
      </w:r>
    </w:p>
    <w:p w14:paraId="4EA26A5E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7D769F8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6E0B01E4" w14:textId="32799338" w:rsidR="004D6345" w:rsidRPr="0057796D" w:rsidRDefault="004D6345" w:rsidP="0057796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57796D">
        <w:rPr>
          <w:szCs w:val="24"/>
        </w:rPr>
        <w:t>PARTENARIATS</w:t>
      </w:r>
      <w:r w:rsidR="001B618F" w:rsidRPr="0057796D">
        <w:rPr>
          <w:rFonts w:ascii="Calibri" w:hAnsi="Calibri" w:cs="Calibri"/>
          <w:szCs w:val="24"/>
        </w:rPr>
        <w:t> </w:t>
      </w:r>
      <w:r w:rsidR="001B618F" w:rsidRPr="0057796D">
        <w:rPr>
          <w:szCs w:val="24"/>
        </w:rPr>
        <w:t>:</w:t>
      </w:r>
    </w:p>
    <w:p w14:paraId="37548748" w14:textId="77777777" w:rsidR="004D6345" w:rsidRPr="0057796D" w:rsidRDefault="004D6345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r w:rsidRPr="0057796D">
        <w:t>Consortium menant le programme :</w:t>
      </w:r>
    </w:p>
    <w:p w14:paraId="40D6ADF2" w14:textId="77777777" w:rsidR="004D6345" w:rsidRPr="0057796D" w:rsidRDefault="004D6345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r w:rsidRPr="0057796D">
        <w:t>APF France Handicap</w:t>
      </w:r>
    </w:p>
    <w:p w14:paraId="340B6F6F" w14:textId="77777777" w:rsidR="00C175DB" w:rsidRPr="0057796D" w:rsidRDefault="004D6345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r w:rsidRPr="0057796D">
        <w:t xml:space="preserve">Centre de formation </w:t>
      </w:r>
      <w:proofErr w:type="spellStart"/>
      <w:r w:rsidRPr="0057796D">
        <w:t>Amnos</w:t>
      </w:r>
      <w:proofErr w:type="spellEnd"/>
      <w:r w:rsidR="00C175DB" w:rsidRPr="0057796D">
        <w:t xml:space="preserve">   </w:t>
      </w:r>
    </w:p>
    <w:p w14:paraId="0D823B97" w14:textId="77777777" w:rsidR="00C175DB" w:rsidRPr="0057796D" w:rsidRDefault="00C175DB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proofErr w:type="spellStart"/>
      <w:r w:rsidRPr="0057796D">
        <w:t>Webforce</w:t>
      </w:r>
      <w:proofErr w:type="spellEnd"/>
      <w:r w:rsidRPr="0057796D">
        <w:t xml:space="preserve"> 3</w:t>
      </w:r>
    </w:p>
    <w:p w14:paraId="7595E2ED" w14:textId="77777777" w:rsidR="00C175DB" w:rsidRPr="0057796D" w:rsidRDefault="00C175DB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proofErr w:type="spellStart"/>
      <w:r w:rsidRPr="0057796D">
        <w:t>Opco</w:t>
      </w:r>
      <w:proofErr w:type="spellEnd"/>
      <w:r w:rsidRPr="0057796D">
        <w:t xml:space="preserve"> Atlas</w:t>
      </w:r>
    </w:p>
    <w:p w14:paraId="06DC001F" w14:textId="5D612B59" w:rsidR="004D6345" w:rsidRPr="0057796D" w:rsidRDefault="00C175DB" w:rsidP="0057796D">
      <w:pPr>
        <w:pStyle w:val="CelluleTableau"/>
        <w:numPr>
          <w:ilvl w:val="0"/>
          <w:numId w:val="31"/>
        </w:numPr>
        <w:spacing w:line="240" w:lineRule="auto"/>
        <w:ind w:right="0"/>
      </w:pPr>
      <w:r w:rsidRPr="0057796D">
        <w:t xml:space="preserve">Ecoles de codage Simplon                         </w:t>
      </w:r>
    </w:p>
    <w:p w14:paraId="5A95FEB7" w14:textId="20E9F350" w:rsidR="004D6345" w:rsidRPr="0057796D" w:rsidRDefault="004D6345" w:rsidP="0057796D">
      <w:pPr>
        <w:pStyle w:val="CelluleTableau"/>
        <w:spacing w:line="240" w:lineRule="auto"/>
        <w:ind w:left="0" w:right="0" w:firstLine="5490"/>
        <w:rPr>
          <w:color w:val="auto"/>
        </w:rPr>
      </w:pPr>
    </w:p>
    <w:p w14:paraId="748AB305" w14:textId="0A0528BF" w:rsidR="00C175DB" w:rsidRPr="0057796D" w:rsidRDefault="00C175DB" w:rsidP="0057796D">
      <w:pPr>
        <w:pStyle w:val="Paragraphedeliste"/>
        <w:spacing w:after="0" w:line="240" w:lineRule="auto"/>
        <w:ind w:left="0"/>
      </w:pPr>
      <w:r w:rsidRPr="0057796D">
        <w:t xml:space="preserve">              </w:t>
      </w:r>
    </w:p>
    <w:p w14:paraId="48664057" w14:textId="662DB84C" w:rsidR="004D6345" w:rsidRPr="0057796D" w:rsidRDefault="0054666E" w:rsidP="0057796D">
      <w:pPr>
        <w:pStyle w:val="CelluleTableau"/>
        <w:spacing w:line="240" w:lineRule="auto"/>
        <w:ind w:left="0" w:right="0"/>
        <w:rPr>
          <w:b/>
        </w:rPr>
      </w:pPr>
      <w:r w:rsidRPr="0057796D">
        <w:rPr>
          <w:b/>
        </w:rPr>
        <w:t xml:space="preserve"> </w:t>
      </w:r>
      <w:r w:rsidR="004D6345" w:rsidRPr="0057796D">
        <w:rPr>
          <w:b/>
        </w:rPr>
        <w:t>Partenaires</w:t>
      </w:r>
      <w:r w:rsidR="004D6345" w:rsidRPr="0057796D">
        <w:t xml:space="preserve"> </w:t>
      </w:r>
      <w:r w:rsidR="004D6345" w:rsidRPr="0057796D">
        <w:rPr>
          <w:b/>
        </w:rPr>
        <w:t>soutenant le programme :</w:t>
      </w:r>
    </w:p>
    <w:p w14:paraId="06E4D0F9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7A7E99E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r w:rsidRPr="0057796D">
        <w:t>Groupe CGI</w:t>
      </w:r>
    </w:p>
    <w:p w14:paraId="7B300BE6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r w:rsidRPr="0057796D">
        <w:t>Syndicat Syntec Numérique</w:t>
      </w:r>
    </w:p>
    <w:p w14:paraId="31D7449A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proofErr w:type="spellStart"/>
      <w:r w:rsidRPr="0057796D">
        <w:t>Synov</w:t>
      </w:r>
      <w:proofErr w:type="spellEnd"/>
      <w:r w:rsidRPr="0057796D">
        <w:t xml:space="preserve"> Numérique</w:t>
      </w:r>
    </w:p>
    <w:p w14:paraId="74D66AB8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r w:rsidRPr="0057796D">
        <w:t>Pôle Emploi</w:t>
      </w:r>
    </w:p>
    <w:p w14:paraId="3858CC25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r w:rsidRPr="0057796D">
        <w:t>Fondation Agir Contre l'Exclusion</w:t>
      </w:r>
    </w:p>
    <w:p w14:paraId="286BF2EF" w14:textId="77777777" w:rsidR="004D6345" w:rsidRPr="0057796D" w:rsidRDefault="004D6345" w:rsidP="0057796D">
      <w:pPr>
        <w:pStyle w:val="CelluleTableau"/>
        <w:numPr>
          <w:ilvl w:val="0"/>
          <w:numId w:val="33"/>
        </w:numPr>
        <w:spacing w:line="240" w:lineRule="auto"/>
        <w:ind w:right="0"/>
      </w:pPr>
      <w:r w:rsidRPr="0057796D">
        <w:t>Fédération des Aveugles de France</w:t>
      </w:r>
    </w:p>
    <w:p w14:paraId="50539231" w14:textId="3D337C32" w:rsidR="004D6345" w:rsidRPr="0057796D" w:rsidRDefault="0054666E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 xml:space="preserve">     </w:t>
      </w:r>
    </w:p>
    <w:p w14:paraId="473B9C3B" w14:textId="77777777" w:rsidR="004D6345" w:rsidRPr="0057796D" w:rsidRDefault="004D6345" w:rsidP="0057796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57796D">
        <w:rPr>
          <w:szCs w:val="24"/>
        </w:rPr>
        <w:lastRenderedPageBreak/>
        <w:t>DOMAINE :</w:t>
      </w:r>
    </w:p>
    <w:p w14:paraId="31D650C3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05E50875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436BE7C0" w14:textId="3561709B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Facilitation de l'accès à l'emploi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3E822C26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1DA68AE4" w14:textId="1ECD6F74" w:rsidR="004D6345" w:rsidRPr="0057796D" w:rsidRDefault="001B618F" w:rsidP="0057796D">
      <w:pPr>
        <w:pStyle w:val="CelluleTableau"/>
        <w:spacing w:line="240" w:lineRule="auto"/>
        <w:ind w:left="0" w:right="0"/>
      </w:pPr>
      <w:r w:rsidRPr="0057796D">
        <w:t>O</w:t>
      </w:r>
      <w:r w:rsidR="004D6345" w:rsidRPr="0057796D">
        <w:t>ui</w:t>
      </w:r>
    </w:p>
    <w:p w14:paraId="7629B5FC" w14:textId="77777777" w:rsidR="001B618F" w:rsidRDefault="001B618F" w:rsidP="0057796D">
      <w:pPr>
        <w:pStyle w:val="CelluleTableau"/>
        <w:spacing w:line="240" w:lineRule="auto"/>
        <w:ind w:left="0" w:right="0"/>
      </w:pPr>
    </w:p>
    <w:p w14:paraId="31D33208" w14:textId="77777777" w:rsidR="0057796D" w:rsidRPr="0057796D" w:rsidRDefault="0057796D" w:rsidP="0057796D">
      <w:pPr>
        <w:pStyle w:val="CelluleTableau"/>
        <w:spacing w:line="240" w:lineRule="auto"/>
        <w:ind w:left="0" w:right="0"/>
      </w:pPr>
    </w:p>
    <w:p w14:paraId="541CD87C" w14:textId="458728A2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Amélioration des compétences numériques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0E332D9B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71A9EC94" w14:textId="23B7B3D2" w:rsidR="004D6345" w:rsidRPr="0057796D" w:rsidRDefault="001B618F" w:rsidP="0057796D">
      <w:pPr>
        <w:pStyle w:val="CelluleTableau"/>
        <w:spacing w:line="240" w:lineRule="auto"/>
        <w:ind w:left="0" w:right="0"/>
      </w:pPr>
      <w:r w:rsidRPr="0057796D">
        <w:t>O</w:t>
      </w:r>
      <w:r w:rsidR="004D6345" w:rsidRPr="0057796D">
        <w:t>ui</w:t>
      </w:r>
    </w:p>
    <w:p w14:paraId="6D2EAC23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5C695ED6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72F4DBF1" w14:textId="40D1F12D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Formation spécialisée pour les éducateurs et professionnels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5168152D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36A6A530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Non spécifié directement, mais inclus dans le cadre des formations proposées.</w:t>
      </w:r>
    </w:p>
    <w:p w14:paraId="511E2290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7379A631" w14:textId="6323B563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Outils et services de compensation du handicap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5310053E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1CE992AD" w14:textId="49E4369D" w:rsidR="004D6345" w:rsidRPr="0057796D" w:rsidRDefault="0057796D" w:rsidP="0057796D">
      <w:pPr>
        <w:pStyle w:val="CelluleTableau"/>
        <w:spacing w:line="240" w:lineRule="auto"/>
        <w:ind w:left="0" w:right="0"/>
      </w:pPr>
      <w:r>
        <w:t>O</w:t>
      </w:r>
      <w:r w:rsidR="004D6345" w:rsidRPr="0057796D">
        <w:t>ui, adaptés selon les besoins individuels.</w:t>
      </w:r>
    </w:p>
    <w:p w14:paraId="6BF27E70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50E988F8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5A1C8BD" w14:textId="54156487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Dispositifs institutionnels et aides officielles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28A5FE0E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6A9ED732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Oui, intégration dans le cadre du Plan d'investissement dans les compétences 100% inclusion.</w:t>
      </w:r>
    </w:p>
    <w:p w14:paraId="53BE6609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A5D3CB0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53D61823" w14:textId="0552FCFB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Augmentation de la mobilité et de l'accessibilité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03103376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5768CE4E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Oui, dans le cadre de l'accessibilité aux formations et lieux de travail.</w:t>
      </w:r>
    </w:p>
    <w:p w14:paraId="5BBFE6C6" w14:textId="77777777" w:rsidR="001B618F" w:rsidRDefault="001B618F" w:rsidP="0057796D">
      <w:pPr>
        <w:pStyle w:val="CelluleTableau"/>
        <w:spacing w:line="240" w:lineRule="auto"/>
        <w:ind w:left="0" w:right="0"/>
      </w:pPr>
    </w:p>
    <w:p w14:paraId="1F92D736" w14:textId="77777777" w:rsidR="0057796D" w:rsidRPr="0057796D" w:rsidRDefault="0057796D" w:rsidP="0057796D">
      <w:pPr>
        <w:pStyle w:val="CelluleTableau"/>
        <w:spacing w:line="240" w:lineRule="auto"/>
        <w:ind w:left="0" w:right="0"/>
      </w:pPr>
    </w:p>
    <w:p w14:paraId="15157946" w14:textId="74EDCD46" w:rsidR="004D6345" w:rsidRPr="0057796D" w:rsidRDefault="004D6345" w:rsidP="0057796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57796D">
        <w:rPr>
          <w:szCs w:val="24"/>
        </w:rPr>
        <w:lastRenderedPageBreak/>
        <w:t>PRODUITS / RÉSULTATS</w:t>
      </w:r>
      <w:r w:rsidR="001B618F" w:rsidRPr="0057796D">
        <w:rPr>
          <w:rFonts w:ascii="Calibri" w:hAnsi="Calibri" w:cs="Calibri"/>
          <w:szCs w:val="24"/>
        </w:rPr>
        <w:t> </w:t>
      </w:r>
      <w:r w:rsidR="001B618F" w:rsidRPr="0057796D">
        <w:rPr>
          <w:szCs w:val="24"/>
        </w:rPr>
        <w:t>:</w:t>
      </w:r>
    </w:p>
    <w:p w14:paraId="5F5705F0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288BB86F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73DA417A" w14:textId="3F564D1A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Type de produit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132F318D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170ED75D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Formations, accompagnement, ressources en ligne.</w:t>
      </w:r>
    </w:p>
    <w:p w14:paraId="6CD8B2F6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2F68CFF2" w14:textId="21FAC508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Brève description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148C9CAE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62FE437D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proofErr w:type="spellStart"/>
      <w:r w:rsidRPr="0057796D">
        <w:t>Thalent</w:t>
      </w:r>
      <w:proofErr w:type="spellEnd"/>
      <w:r w:rsidRPr="0057796D">
        <w:t xml:space="preserve"> Digital produit des parcours de formation adaptés et offre un accompagnement personnalisé pour faciliter l'accès des personnes en situation de handicap aux carrières numériques, augmentant ainsi leurs opportunités d'emploi.</w:t>
      </w:r>
    </w:p>
    <w:p w14:paraId="2C657E80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CB2CFFD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4F7004AD" w14:textId="77777777" w:rsidR="004D6345" w:rsidRPr="0057796D" w:rsidRDefault="004D6345" w:rsidP="0057796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57796D">
        <w:rPr>
          <w:szCs w:val="24"/>
        </w:rPr>
        <w:t>IMPACT ET TRANSFÉRABILITÉ :</w:t>
      </w:r>
    </w:p>
    <w:p w14:paraId="71638A5C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12BFF2BF" w14:textId="77777777" w:rsidR="0057796D" w:rsidRDefault="0057796D" w:rsidP="0057796D">
      <w:pPr>
        <w:pStyle w:val="EnteteTableau"/>
        <w:numPr>
          <w:ilvl w:val="0"/>
          <w:numId w:val="0"/>
        </w:numPr>
        <w:spacing w:before="0" w:after="0"/>
      </w:pPr>
    </w:p>
    <w:p w14:paraId="478B237B" w14:textId="3084E3C7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  <w:rPr>
          <w:color w:val="auto"/>
        </w:rPr>
      </w:pPr>
      <w:r w:rsidRPr="0057796D">
        <w:t xml:space="preserve">Impact sur les groupes </w:t>
      </w:r>
      <w:r w:rsidRPr="0057796D">
        <w:rPr>
          <w:rFonts w:eastAsia="Times New Roman" w:cs="Times New Roman"/>
          <w:color w:val="auto"/>
        </w:rPr>
        <w:t>cibles</w:t>
      </w:r>
      <w:r w:rsidR="001B618F" w:rsidRPr="0057796D">
        <w:rPr>
          <w:rFonts w:ascii="Calibri" w:eastAsia="Times New Roman" w:hAnsi="Calibri"/>
          <w:color w:val="auto"/>
        </w:rPr>
        <w:t> </w:t>
      </w:r>
      <w:r w:rsidR="001B618F" w:rsidRPr="0057796D">
        <w:rPr>
          <w:rFonts w:eastAsia="Times New Roman" w:cs="Times New Roman"/>
          <w:color w:val="auto"/>
        </w:rPr>
        <w:t>:</w:t>
      </w:r>
    </w:p>
    <w:p w14:paraId="68D03EA9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3FDCFAF4" w14:textId="77777777" w:rsidR="004D6345" w:rsidRPr="0057796D" w:rsidRDefault="004D6345" w:rsidP="0057796D">
      <w:pPr>
        <w:pStyle w:val="CelluleTableau"/>
        <w:spacing w:line="240" w:lineRule="auto"/>
        <w:ind w:left="0" w:right="0"/>
      </w:pPr>
      <w:r w:rsidRPr="0057796D">
        <w:t>Le programme a significativement amélioré les opportunités d'emploi pour les personnes handicapées dans le secteur numérique en réduisant les barrières à l'emploi et en augmentant leur employabilité.</w:t>
      </w:r>
    </w:p>
    <w:p w14:paraId="75231FC2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5F865DD8" w14:textId="77777777" w:rsidR="001B618F" w:rsidRPr="0057796D" w:rsidRDefault="001B618F" w:rsidP="0057796D">
      <w:pPr>
        <w:pStyle w:val="CelluleTableau"/>
        <w:spacing w:line="240" w:lineRule="auto"/>
        <w:ind w:left="0" w:right="0"/>
      </w:pPr>
    </w:p>
    <w:p w14:paraId="1B94313E" w14:textId="4A5C5E93" w:rsidR="004D6345" w:rsidRPr="0057796D" w:rsidRDefault="004D6345" w:rsidP="0057796D">
      <w:pPr>
        <w:pStyle w:val="EnteteTableau"/>
        <w:numPr>
          <w:ilvl w:val="0"/>
          <w:numId w:val="0"/>
        </w:numPr>
        <w:spacing w:before="0" w:after="0"/>
      </w:pPr>
      <w:r w:rsidRPr="0057796D">
        <w:t>Brève description</w:t>
      </w:r>
      <w:r w:rsidR="001B618F" w:rsidRPr="0057796D">
        <w:rPr>
          <w:rFonts w:ascii="Calibri" w:hAnsi="Calibri"/>
        </w:rPr>
        <w:t> </w:t>
      </w:r>
      <w:r w:rsidR="001B618F" w:rsidRPr="0057796D">
        <w:t>:</w:t>
      </w:r>
    </w:p>
    <w:p w14:paraId="1800B8DB" w14:textId="77777777" w:rsidR="0057796D" w:rsidRDefault="0057796D" w:rsidP="0057796D">
      <w:pPr>
        <w:pStyle w:val="CelluleTableau"/>
        <w:spacing w:line="240" w:lineRule="auto"/>
        <w:ind w:left="0" w:right="0"/>
      </w:pPr>
    </w:p>
    <w:p w14:paraId="613CAE0D" w14:textId="75C50293" w:rsidR="00777167" w:rsidRPr="0057796D" w:rsidRDefault="004D6345" w:rsidP="0057796D">
      <w:pPr>
        <w:pStyle w:val="CelluleTableau"/>
        <w:spacing w:line="240" w:lineRule="auto"/>
        <w:ind w:left="0" w:right="0"/>
      </w:pPr>
      <w:bookmarkStart w:id="0" w:name="_GoBack"/>
      <w:bookmarkEnd w:id="0"/>
      <w:r w:rsidRPr="0057796D">
        <w:t>Cette pratique peut être adaptée ou reproduite dans différents contextes ou régions grâce à son modèle flexible et évolutif, qui peut être ajusté selon les spécificités locales et les besoins des personnes en situation de handicap.</w:t>
      </w:r>
    </w:p>
    <w:sectPr w:rsidR="00777167" w:rsidRPr="0057796D" w:rsidSect="001C06E4">
      <w:headerReference w:type="default" r:id="rId9"/>
      <w:footerReference w:type="default" r:id="rId10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001D2" w14:textId="77777777" w:rsidR="005E12C5" w:rsidRDefault="005E12C5" w:rsidP="008D2C54">
      <w:r>
        <w:separator/>
      </w:r>
    </w:p>
  </w:endnote>
  <w:endnote w:type="continuationSeparator" w:id="0">
    <w:p w14:paraId="7F05A346" w14:textId="77777777" w:rsidR="005E12C5" w:rsidRDefault="005E12C5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D25D8540-5746-4790-A405-627C24E01E34}"/>
    <w:embedBold r:id="rId2" w:fontKey="{9FE5048A-AB40-4581-9172-306C8398BDB2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936BF68B-211A-4C71-8EA6-EF18B619710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272E3A36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96D">
          <w:rPr>
            <w:noProof/>
          </w:rPr>
          <w:t>4</w:t>
        </w:r>
        <w:r>
          <w:fldChar w:fldCharType="end"/>
        </w:r>
      </w:p>
    </w:sdtContent>
  </w:sdt>
  <w:p w14:paraId="337BDEF8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0E90" w14:textId="77777777" w:rsidR="005E12C5" w:rsidRDefault="005E12C5" w:rsidP="008D2C54">
      <w:r>
        <w:separator/>
      </w:r>
    </w:p>
  </w:footnote>
  <w:footnote w:type="continuationSeparator" w:id="0">
    <w:p w14:paraId="4EDA60A1" w14:textId="77777777" w:rsidR="005E12C5" w:rsidRDefault="005E12C5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45B5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8C7A05A" wp14:editId="4D5F96AE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67245FF5" wp14:editId="79823688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82D1B9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2D3"/>
    <w:multiLevelType w:val="hybridMultilevel"/>
    <w:tmpl w:val="6AC0BF9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316D5D"/>
    <w:multiLevelType w:val="hybridMultilevel"/>
    <w:tmpl w:val="00925282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1D2907"/>
    <w:multiLevelType w:val="hybridMultilevel"/>
    <w:tmpl w:val="69F431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1A20F47"/>
    <w:multiLevelType w:val="hybridMultilevel"/>
    <w:tmpl w:val="91DACF60"/>
    <w:lvl w:ilvl="0" w:tplc="0E88C66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EA28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43F6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B2AA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8F4E4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193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A61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77F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A3A02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54550"/>
    <w:multiLevelType w:val="hybridMultilevel"/>
    <w:tmpl w:val="C74652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755C"/>
    <w:multiLevelType w:val="multilevel"/>
    <w:tmpl w:val="AD787A6E"/>
    <w:lvl w:ilvl="0">
      <w:start w:val="1"/>
      <w:numFmt w:val="bullet"/>
      <w:pStyle w:val="EnteteTableau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026FA"/>
    <w:multiLevelType w:val="hybridMultilevel"/>
    <w:tmpl w:val="1B609B8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29"/>
  </w:num>
  <w:num w:numId="5">
    <w:abstractNumId w:val="3"/>
  </w:num>
  <w:num w:numId="6">
    <w:abstractNumId w:val="4"/>
  </w:num>
  <w:num w:numId="7">
    <w:abstractNumId w:val="26"/>
  </w:num>
  <w:num w:numId="8">
    <w:abstractNumId w:val="30"/>
  </w:num>
  <w:num w:numId="9">
    <w:abstractNumId w:val="9"/>
  </w:num>
  <w:num w:numId="10">
    <w:abstractNumId w:val="23"/>
  </w:num>
  <w:num w:numId="11">
    <w:abstractNumId w:val="25"/>
  </w:num>
  <w:num w:numId="12">
    <w:abstractNumId w:val="12"/>
  </w:num>
  <w:num w:numId="13">
    <w:abstractNumId w:val="2"/>
  </w:num>
  <w:num w:numId="14">
    <w:abstractNumId w:val="32"/>
  </w:num>
  <w:num w:numId="15">
    <w:abstractNumId w:val="15"/>
  </w:num>
  <w:num w:numId="16">
    <w:abstractNumId w:val="1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7"/>
  </w:num>
  <w:num w:numId="22">
    <w:abstractNumId w:val="19"/>
  </w:num>
  <w:num w:numId="23">
    <w:abstractNumId w:val="24"/>
  </w:num>
  <w:num w:numId="24">
    <w:abstractNumId w:val="14"/>
  </w:num>
  <w:num w:numId="25">
    <w:abstractNumId w:val="20"/>
  </w:num>
  <w:num w:numId="26">
    <w:abstractNumId w:val="6"/>
  </w:num>
  <w:num w:numId="27">
    <w:abstractNumId w:val="18"/>
  </w:num>
  <w:num w:numId="28">
    <w:abstractNumId w:val="10"/>
  </w:num>
  <w:num w:numId="29">
    <w:abstractNumId w:val="31"/>
  </w:num>
  <w:num w:numId="30">
    <w:abstractNumId w:val="5"/>
  </w:num>
  <w:num w:numId="31">
    <w:abstractNumId w:val="8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45"/>
    <w:rsid w:val="00004DE0"/>
    <w:rsid w:val="000B12C0"/>
    <w:rsid w:val="001114DD"/>
    <w:rsid w:val="00125850"/>
    <w:rsid w:val="001B618F"/>
    <w:rsid w:val="001C06E4"/>
    <w:rsid w:val="002052FF"/>
    <w:rsid w:val="00295C02"/>
    <w:rsid w:val="002E1F33"/>
    <w:rsid w:val="002F109E"/>
    <w:rsid w:val="003058F9"/>
    <w:rsid w:val="00344B35"/>
    <w:rsid w:val="00357120"/>
    <w:rsid w:val="003748C3"/>
    <w:rsid w:val="003C5E8C"/>
    <w:rsid w:val="003E67EF"/>
    <w:rsid w:val="00435290"/>
    <w:rsid w:val="0043677B"/>
    <w:rsid w:val="0049728F"/>
    <w:rsid w:val="004B742E"/>
    <w:rsid w:val="004C45B6"/>
    <w:rsid w:val="004D6345"/>
    <w:rsid w:val="004F69D1"/>
    <w:rsid w:val="005232EE"/>
    <w:rsid w:val="00533A90"/>
    <w:rsid w:val="0054666E"/>
    <w:rsid w:val="0057796D"/>
    <w:rsid w:val="005B47C7"/>
    <w:rsid w:val="005E12C5"/>
    <w:rsid w:val="006C2583"/>
    <w:rsid w:val="006C5B7A"/>
    <w:rsid w:val="006D53CC"/>
    <w:rsid w:val="00714AE0"/>
    <w:rsid w:val="00756736"/>
    <w:rsid w:val="00777167"/>
    <w:rsid w:val="007A1FBB"/>
    <w:rsid w:val="007D6C46"/>
    <w:rsid w:val="008657EB"/>
    <w:rsid w:val="00875269"/>
    <w:rsid w:val="008B2213"/>
    <w:rsid w:val="008D2C54"/>
    <w:rsid w:val="008D7634"/>
    <w:rsid w:val="00967BB0"/>
    <w:rsid w:val="009E18D8"/>
    <w:rsid w:val="00A26B77"/>
    <w:rsid w:val="00A768BD"/>
    <w:rsid w:val="00AA2D52"/>
    <w:rsid w:val="00AE07A3"/>
    <w:rsid w:val="00AF5BF2"/>
    <w:rsid w:val="00B93ED7"/>
    <w:rsid w:val="00B97622"/>
    <w:rsid w:val="00C13CAA"/>
    <w:rsid w:val="00C175DB"/>
    <w:rsid w:val="00C72994"/>
    <w:rsid w:val="00C976F9"/>
    <w:rsid w:val="00CB3304"/>
    <w:rsid w:val="00CB6956"/>
    <w:rsid w:val="00CE6F36"/>
    <w:rsid w:val="00D3319D"/>
    <w:rsid w:val="00D41596"/>
    <w:rsid w:val="00D82191"/>
    <w:rsid w:val="00D93F3C"/>
    <w:rsid w:val="00E936A3"/>
    <w:rsid w:val="00EB7752"/>
    <w:rsid w:val="00ED1093"/>
    <w:rsid w:val="00ED3DDF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1CEC"/>
  <w15:chartTrackingRefBased/>
  <w15:docId w15:val="{012BF48F-D0ED-471F-81B6-FA52E44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45"/>
    <w:rPr>
      <w:rFonts w:ascii="Luciole" w:eastAsia="Calibri" w:hAnsi="Luciole" w:cs="Calibri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4D6345"/>
    <w:pPr>
      <w:spacing w:after="0"/>
      <w:ind w:left="708" w:right="709"/>
    </w:pPr>
    <w:rPr>
      <w:rFonts w:eastAsia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4D6345"/>
    <w:rPr>
      <w:rFonts w:ascii="Luciole" w:eastAsia="Times New Roman" w:hAnsi="Luciole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lent-digita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1A9C-CEF7-4617-AFCE-CB253904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21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7</cp:revision>
  <cp:lastPrinted>2024-12-23T11:09:00Z</cp:lastPrinted>
  <dcterms:created xsi:type="dcterms:W3CDTF">2024-12-27T18:30:00Z</dcterms:created>
  <dcterms:modified xsi:type="dcterms:W3CDTF">2024-12-30T19:27:00Z</dcterms:modified>
</cp:coreProperties>
</file>