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EFFF8" w14:textId="77777777" w:rsidR="005368A0" w:rsidRPr="002A406B" w:rsidRDefault="005368A0" w:rsidP="002A406B">
      <w:pPr>
        <w:pStyle w:val="TitreDocument"/>
        <w:spacing w:before="0" w:line="240" w:lineRule="auto"/>
        <w:ind w:left="0" w:right="0"/>
        <w:jc w:val="left"/>
        <w:rPr>
          <w:szCs w:val="24"/>
        </w:rPr>
      </w:pPr>
      <w:r w:rsidRPr="002A406B">
        <w:rPr>
          <w:szCs w:val="24"/>
        </w:rPr>
        <w:t>E-HANDI TOUR GUIDE DE L’INCLUSION INNOVANTE DES PSDH</w:t>
      </w:r>
    </w:p>
    <w:p w14:paraId="1FDE6357" w14:textId="77777777" w:rsidR="002A406B" w:rsidRDefault="002A406B" w:rsidP="002A406B">
      <w:pPr>
        <w:pStyle w:val="TitreDocument"/>
        <w:spacing w:before="0" w:line="240" w:lineRule="auto"/>
        <w:ind w:left="0" w:right="0"/>
        <w:jc w:val="left"/>
        <w:rPr>
          <w:szCs w:val="24"/>
        </w:rPr>
      </w:pPr>
    </w:p>
    <w:p w14:paraId="7AEEAF19" w14:textId="77777777" w:rsidR="005368A0" w:rsidRDefault="005368A0" w:rsidP="002A406B">
      <w:pPr>
        <w:pStyle w:val="TitreDocument"/>
        <w:spacing w:before="0" w:line="240" w:lineRule="auto"/>
        <w:ind w:left="0" w:right="0"/>
        <w:jc w:val="left"/>
        <w:rPr>
          <w:color w:val="auto"/>
          <w:szCs w:val="24"/>
        </w:rPr>
      </w:pPr>
      <w:r w:rsidRPr="002A406B">
        <w:rPr>
          <w:color w:val="auto"/>
          <w:szCs w:val="24"/>
        </w:rPr>
        <w:t>ESRP EPNAK de Lyon - Réadaptation professionnelle et inclusion des personnes en situation de handicap</w:t>
      </w:r>
    </w:p>
    <w:p w14:paraId="30A5E808" w14:textId="77777777" w:rsidR="002A406B" w:rsidRDefault="002A406B" w:rsidP="002A406B">
      <w:pPr>
        <w:pStyle w:val="TitreDocument"/>
        <w:spacing w:before="0" w:line="240" w:lineRule="auto"/>
        <w:ind w:left="0" w:right="0"/>
        <w:jc w:val="left"/>
        <w:rPr>
          <w:color w:val="auto"/>
          <w:szCs w:val="24"/>
        </w:rPr>
      </w:pPr>
    </w:p>
    <w:p w14:paraId="67C33CFE" w14:textId="77777777" w:rsidR="002A406B" w:rsidRPr="002A406B" w:rsidRDefault="002A406B" w:rsidP="002A406B">
      <w:pPr>
        <w:pStyle w:val="TitreDocument"/>
        <w:spacing w:before="0" w:line="240" w:lineRule="auto"/>
        <w:ind w:left="0" w:right="0"/>
        <w:jc w:val="left"/>
        <w:rPr>
          <w:color w:val="auto"/>
          <w:szCs w:val="24"/>
        </w:rPr>
      </w:pPr>
    </w:p>
    <w:p w14:paraId="37C027AF" w14:textId="317A2AF5" w:rsidR="005368A0" w:rsidRPr="002A406B" w:rsidRDefault="005368A0" w:rsidP="002A406B">
      <w:pPr>
        <w:pStyle w:val="EnteteTableau"/>
        <w:numPr>
          <w:ilvl w:val="0"/>
          <w:numId w:val="0"/>
        </w:numPr>
        <w:spacing w:before="0" w:after="0"/>
        <w:ind w:right="0"/>
      </w:pPr>
      <w:r w:rsidRPr="002A406B">
        <w:t>Promoteur de l'initiative</w:t>
      </w:r>
      <w:r w:rsidR="00A21A9E" w:rsidRPr="002A406B">
        <w:rPr>
          <w:rFonts w:ascii="Calibri" w:hAnsi="Calibri"/>
        </w:rPr>
        <w:t> </w:t>
      </w:r>
      <w:r w:rsidR="00A21A9E" w:rsidRPr="002A406B">
        <w:t>:</w:t>
      </w:r>
    </w:p>
    <w:p w14:paraId="4807BE0E" w14:textId="77777777" w:rsidR="002A406B" w:rsidRDefault="002A406B" w:rsidP="002A406B">
      <w:pPr>
        <w:pStyle w:val="CelluleTableau"/>
        <w:spacing w:line="240" w:lineRule="auto"/>
        <w:ind w:left="0" w:right="0"/>
      </w:pPr>
    </w:p>
    <w:p w14:paraId="61BF3C3D" w14:textId="77777777" w:rsidR="005368A0" w:rsidRPr="002A406B" w:rsidRDefault="005368A0" w:rsidP="002A406B">
      <w:pPr>
        <w:pStyle w:val="CelluleTableau"/>
        <w:spacing w:line="240" w:lineRule="auto"/>
        <w:ind w:left="0" w:right="0"/>
      </w:pPr>
      <w:r w:rsidRPr="002A406B">
        <w:t>ESRP EPNAK de Lyon Établissement Public National</w:t>
      </w:r>
    </w:p>
    <w:p w14:paraId="0076DDEF" w14:textId="36CEC189" w:rsidR="005368A0" w:rsidRPr="002A406B" w:rsidRDefault="005368A0" w:rsidP="002A406B">
      <w:pPr>
        <w:pStyle w:val="CelluleTableau"/>
        <w:spacing w:line="240" w:lineRule="auto"/>
        <w:ind w:left="0" w:right="0"/>
      </w:pPr>
      <w:r w:rsidRPr="002A406B">
        <w:t>Antoine Koenigswarter</w:t>
      </w:r>
      <w:r w:rsidR="00A21A9E" w:rsidRPr="002A406B">
        <w:t>.</w:t>
      </w:r>
    </w:p>
    <w:p w14:paraId="6C12FA7F" w14:textId="77777777" w:rsidR="002A406B" w:rsidRDefault="002A406B" w:rsidP="002A406B">
      <w:pPr>
        <w:pStyle w:val="EnteteTableau"/>
        <w:numPr>
          <w:ilvl w:val="0"/>
          <w:numId w:val="0"/>
        </w:numPr>
        <w:spacing w:before="0" w:after="0"/>
        <w:ind w:right="0"/>
      </w:pPr>
    </w:p>
    <w:p w14:paraId="6B2CD145" w14:textId="158003BA" w:rsidR="005368A0" w:rsidRPr="002A406B" w:rsidRDefault="005368A0" w:rsidP="002A406B">
      <w:pPr>
        <w:pStyle w:val="EnteteTableau"/>
        <w:numPr>
          <w:ilvl w:val="0"/>
          <w:numId w:val="0"/>
        </w:numPr>
        <w:spacing w:before="0" w:after="0"/>
        <w:ind w:right="0"/>
      </w:pPr>
      <w:r w:rsidRPr="002A406B">
        <w:t>Pays</w:t>
      </w:r>
      <w:r w:rsidR="00A21A9E" w:rsidRPr="002A406B">
        <w:rPr>
          <w:rFonts w:ascii="Calibri" w:hAnsi="Calibri"/>
        </w:rPr>
        <w:t> </w:t>
      </w:r>
      <w:r w:rsidR="00A21A9E" w:rsidRPr="002A406B">
        <w:t>:</w:t>
      </w:r>
    </w:p>
    <w:p w14:paraId="2F20CB0E" w14:textId="77777777" w:rsidR="002A406B" w:rsidRDefault="002A406B" w:rsidP="002A406B">
      <w:pPr>
        <w:pStyle w:val="CelluleTableau"/>
        <w:spacing w:line="240" w:lineRule="auto"/>
        <w:ind w:left="0" w:right="0"/>
      </w:pPr>
    </w:p>
    <w:p w14:paraId="31652DCB" w14:textId="77777777" w:rsidR="005368A0" w:rsidRPr="002A406B" w:rsidRDefault="005368A0" w:rsidP="002A406B">
      <w:pPr>
        <w:pStyle w:val="CelluleTableau"/>
        <w:spacing w:line="240" w:lineRule="auto"/>
        <w:ind w:left="0" w:right="0"/>
      </w:pPr>
      <w:r w:rsidRPr="002A406B">
        <w:t>France</w:t>
      </w:r>
    </w:p>
    <w:p w14:paraId="181AA7BD" w14:textId="77777777" w:rsidR="002A406B" w:rsidRDefault="002A406B" w:rsidP="002A406B">
      <w:pPr>
        <w:pStyle w:val="EnteteTableau"/>
        <w:numPr>
          <w:ilvl w:val="0"/>
          <w:numId w:val="0"/>
        </w:numPr>
        <w:spacing w:before="0" w:after="0"/>
        <w:ind w:right="0"/>
      </w:pPr>
    </w:p>
    <w:p w14:paraId="119A8F27" w14:textId="21E102CE" w:rsidR="005368A0" w:rsidRPr="002A406B" w:rsidRDefault="005368A0" w:rsidP="002A406B">
      <w:pPr>
        <w:pStyle w:val="EnteteTableau"/>
        <w:numPr>
          <w:ilvl w:val="0"/>
          <w:numId w:val="0"/>
        </w:numPr>
        <w:spacing w:before="0" w:after="0"/>
        <w:ind w:right="0"/>
      </w:pPr>
      <w:r w:rsidRPr="002A406B">
        <w:t>Site internet</w:t>
      </w:r>
      <w:r w:rsidR="00A21A9E" w:rsidRPr="002A406B">
        <w:rPr>
          <w:rFonts w:ascii="Calibri" w:hAnsi="Calibri"/>
        </w:rPr>
        <w:t> </w:t>
      </w:r>
      <w:r w:rsidR="00A21A9E" w:rsidRPr="002A406B">
        <w:t>:</w:t>
      </w:r>
    </w:p>
    <w:p w14:paraId="51A1B45B" w14:textId="77777777" w:rsidR="002A406B" w:rsidRDefault="002A406B" w:rsidP="002A406B">
      <w:pPr>
        <w:pStyle w:val="CelluleTableau"/>
        <w:spacing w:line="240" w:lineRule="auto"/>
        <w:ind w:left="0" w:right="0"/>
        <w:rPr>
          <w:rStyle w:val="Lienhypertexte"/>
        </w:rPr>
      </w:pPr>
    </w:p>
    <w:p w14:paraId="71728CCD" w14:textId="12166449" w:rsidR="005368A0" w:rsidRPr="002A406B" w:rsidRDefault="00280E9A" w:rsidP="002A406B">
      <w:pPr>
        <w:pStyle w:val="CelluleTableau"/>
        <w:spacing w:line="240" w:lineRule="auto"/>
        <w:ind w:left="0" w:right="0"/>
      </w:pPr>
      <w:hyperlink r:id="rId8" w:tooltip="Site de l'Epnak" w:history="1">
        <w:r w:rsidR="005368A0" w:rsidRPr="002A406B">
          <w:rPr>
            <w:rStyle w:val="Lienhypertexte"/>
          </w:rPr>
          <w:t>https://formation.epnak.org/lyon/</w:t>
        </w:r>
      </w:hyperlink>
    </w:p>
    <w:p w14:paraId="74D317E3" w14:textId="77777777" w:rsidR="00A21A9E" w:rsidRPr="002A406B" w:rsidRDefault="00A21A9E" w:rsidP="002A406B">
      <w:pPr>
        <w:pStyle w:val="EnteteTableau"/>
        <w:numPr>
          <w:ilvl w:val="0"/>
          <w:numId w:val="0"/>
        </w:numPr>
        <w:spacing w:before="0" w:after="0"/>
        <w:ind w:right="0" w:hanging="357"/>
      </w:pPr>
    </w:p>
    <w:p w14:paraId="614842F8" w14:textId="77777777" w:rsidR="00A21A9E" w:rsidRPr="002A406B" w:rsidRDefault="00A21A9E" w:rsidP="002A406B">
      <w:pPr>
        <w:pStyle w:val="EnteteTableau"/>
        <w:numPr>
          <w:ilvl w:val="0"/>
          <w:numId w:val="0"/>
        </w:numPr>
        <w:spacing w:before="0" w:after="0"/>
        <w:ind w:right="0" w:hanging="357"/>
      </w:pPr>
    </w:p>
    <w:p w14:paraId="1050FAD7" w14:textId="77777777" w:rsidR="005368A0" w:rsidRPr="002A406B" w:rsidRDefault="005368A0" w:rsidP="002A406B">
      <w:pPr>
        <w:pStyle w:val="Titre1"/>
        <w:numPr>
          <w:ilvl w:val="0"/>
          <w:numId w:val="0"/>
        </w:numPr>
        <w:spacing w:before="0" w:line="240" w:lineRule="auto"/>
        <w:ind w:right="0"/>
        <w:rPr>
          <w:szCs w:val="24"/>
        </w:rPr>
      </w:pPr>
      <w:r w:rsidRPr="002A406B">
        <w:rPr>
          <w:szCs w:val="24"/>
        </w:rPr>
        <w:t>DETAIL DE L’INITIATIVE :</w:t>
      </w:r>
    </w:p>
    <w:p w14:paraId="4390F7D3" w14:textId="77777777" w:rsidR="002A406B" w:rsidRDefault="002A406B" w:rsidP="002A406B">
      <w:pPr>
        <w:pStyle w:val="EnteteTableau"/>
        <w:numPr>
          <w:ilvl w:val="0"/>
          <w:numId w:val="0"/>
        </w:numPr>
        <w:spacing w:before="0" w:after="0"/>
        <w:ind w:right="0"/>
      </w:pPr>
    </w:p>
    <w:p w14:paraId="2B8041A8" w14:textId="77777777" w:rsidR="002A406B" w:rsidRDefault="002A406B" w:rsidP="002A406B">
      <w:pPr>
        <w:pStyle w:val="EnteteTableau"/>
        <w:numPr>
          <w:ilvl w:val="0"/>
          <w:numId w:val="0"/>
        </w:numPr>
        <w:spacing w:before="0" w:after="0"/>
        <w:ind w:right="0"/>
      </w:pPr>
    </w:p>
    <w:p w14:paraId="73932AEB" w14:textId="77777777" w:rsidR="005368A0" w:rsidRDefault="005368A0" w:rsidP="002A406B">
      <w:pPr>
        <w:pStyle w:val="EnteteTableau"/>
        <w:numPr>
          <w:ilvl w:val="0"/>
          <w:numId w:val="0"/>
        </w:numPr>
        <w:spacing w:before="0" w:after="0"/>
        <w:ind w:right="0"/>
      </w:pPr>
      <w:r w:rsidRPr="002A406B">
        <w:t>Groupe(s) cible(s) :</w:t>
      </w:r>
    </w:p>
    <w:p w14:paraId="72638200" w14:textId="77777777" w:rsidR="002A406B" w:rsidRPr="002A406B" w:rsidRDefault="002A406B" w:rsidP="002A406B">
      <w:pPr>
        <w:pStyle w:val="EnteteTableau"/>
        <w:numPr>
          <w:ilvl w:val="0"/>
          <w:numId w:val="0"/>
        </w:numPr>
        <w:spacing w:before="0" w:after="0"/>
        <w:ind w:right="0"/>
      </w:pPr>
    </w:p>
    <w:p w14:paraId="6FE26950" w14:textId="10D5570B" w:rsidR="005368A0" w:rsidRPr="002A406B" w:rsidRDefault="005368A0" w:rsidP="002A406B">
      <w:pPr>
        <w:pStyle w:val="Paragraphedeliste"/>
        <w:numPr>
          <w:ilvl w:val="0"/>
          <w:numId w:val="32"/>
        </w:numPr>
        <w:spacing w:line="240" w:lineRule="auto"/>
        <w:ind w:right="0"/>
        <w:rPr>
          <w:color w:val="auto"/>
        </w:rPr>
      </w:pPr>
      <w:r w:rsidRPr="002A406B">
        <w:rPr>
          <w:rFonts w:eastAsia="Times New Roman" w:cs="Times New Roman"/>
          <w:color w:val="auto"/>
        </w:rPr>
        <w:t>Personnes en situation de handicap reconnues et orientées par leur MDPH (Maison Départementale des Personnes Handicapées)</w:t>
      </w:r>
    </w:p>
    <w:p w14:paraId="5BEF0A49" w14:textId="429D1417" w:rsidR="005368A0" w:rsidRPr="002A406B" w:rsidRDefault="005368A0" w:rsidP="002A406B">
      <w:pPr>
        <w:pStyle w:val="Paragraphedeliste"/>
        <w:numPr>
          <w:ilvl w:val="0"/>
          <w:numId w:val="32"/>
        </w:numPr>
        <w:spacing w:line="240" w:lineRule="auto"/>
        <w:ind w:right="0"/>
        <w:rPr>
          <w:rFonts w:eastAsia="Times New Roman" w:cs="Times New Roman"/>
          <w:color w:val="auto"/>
        </w:rPr>
      </w:pPr>
      <w:r w:rsidRPr="002A406B">
        <w:rPr>
          <w:rFonts w:eastAsia="Times New Roman" w:cs="Times New Roman"/>
          <w:color w:val="auto"/>
        </w:rPr>
        <w:t>Personnes en recherche de reconversion ou d'insertion professionnelle</w:t>
      </w:r>
      <w:r w:rsidR="00A21A9E" w:rsidRPr="002A406B">
        <w:rPr>
          <w:rFonts w:eastAsia="Times New Roman" w:cs="Times New Roman"/>
          <w:color w:val="auto"/>
        </w:rPr>
        <w:t>.</w:t>
      </w:r>
    </w:p>
    <w:p w14:paraId="3619B448" w14:textId="77777777" w:rsidR="00A21A9E" w:rsidRPr="002A406B" w:rsidRDefault="00A21A9E" w:rsidP="002A406B">
      <w:pPr>
        <w:spacing w:line="240" w:lineRule="auto"/>
        <w:ind w:left="0" w:right="0" w:firstLine="0"/>
        <w:rPr>
          <w:rFonts w:eastAsia="Times New Roman" w:cs="Times New Roman"/>
          <w:color w:val="auto"/>
        </w:rPr>
      </w:pPr>
    </w:p>
    <w:p w14:paraId="33DA0126" w14:textId="77777777" w:rsidR="00A21A9E" w:rsidRPr="002A406B" w:rsidRDefault="00A21A9E" w:rsidP="002A406B">
      <w:pPr>
        <w:spacing w:line="240" w:lineRule="auto"/>
        <w:ind w:left="0" w:right="0" w:firstLine="0"/>
        <w:rPr>
          <w:color w:val="auto"/>
        </w:rPr>
      </w:pPr>
    </w:p>
    <w:p w14:paraId="7C6A85D5" w14:textId="167215E3" w:rsidR="005368A0" w:rsidRPr="002A406B" w:rsidRDefault="005368A0" w:rsidP="002A406B">
      <w:pPr>
        <w:pStyle w:val="EnteteTableau"/>
        <w:numPr>
          <w:ilvl w:val="0"/>
          <w:numId w:val="0"/>
        </w:numPr>
        <w:spacing w:before="0" w:after="0"/>
        <w:ind w:right="0"/>
      </w:pPr>
      <w:r w:rsidRPr="002A406B">
        <w:t>Description</w:t>
      </w:r>
      <w:r w:rsidR="00A21A9E" w:rsidRPr="002A406B">
        <w:rPr>
          <w:rFonts w:ascii="Calibri" w:hAnsi="Calibri"/>
        </w:rPr>
        <w:t> </w:t>
      </w:r>
      <w:r w:rsidR="00A21A9E" w:rsidRPr="002A406B">
        <w:t>:</w:t>
      </w:r>
    </w:p>
    <w:p w14:paraId="31993112" w14:textId="77777777" w:rsidR="002A406B" w:rsidRDefault="002A406B" w:rsidP="002A406B">
      <w:pPr>
        <w:pStyle w:val="CelluleTableau"/>
        <w:spacing w:line="240" w:lineRule="auto"/>
        <w:ind w:left="0" w:right="0"/>
      </w:pPr>
    </w:p>
    <w:p w14:paraId="1D9D2B20" w14:textId="77777777" w:rsidR="005368A0" w:rsidRPr="002A406B" w:rsidRDefault="005368A0" w:rsidP="002A406B">
      <w:pPr>
        <w:pStyle w:val="CelluleTableau"/>
        <w:spacing w:line="240" w:lineRule="auto"/>
        <w:ind w:left="0" w:right="0"/>
      </w:pPr>
      <w:r w:rsidRPr="002A406B">
        <w:t>L'ESRP EPNAK de Lyon est un établissement médico-social public faisant partie du réseau de l’Établissement Public National Antoine Koenigswarter (EPNAK).</w:t>
      </w:r>
    </w:p>
    <w:p w14:paraId="31BE6A66" w14:textId="77777777" w:rsidR="00A21A9E" w:rsidRPr="002A406B" w:rsidRDefault="00A21A9E" w:rsidP="002A406B">
      <w:pPr>
        <w:pStyle w:val="CelluleTableau"/>
        <w:spacing w:line="240" w:lineRule="auto"/>
        <w:ind w:left="0" w:right="0"/>
      </w:pPr>
    </w:p>
    <w:p w14:paraId="7104A916" w14:textId="77777777" w:rsidR="00A21A9E" w:rsidRPr="002A406B" w:rsidRDefault="00A21A9E" w:rsidP="002A406B">
      <w:pPr>
        <w:pStyle w:val="CelluleTableau"/>
        <w:spacing w:line="240" w:lineRule="auto"/>
        <w:ind w:left="0" w:right="0"/>
      </w:pPr>
    </w:p>
    <w:p w14:paraId="646752C5" w14:textId="70CEBCA6" w:rsidR="005368A0" w:rsidRPr="002A406B" w:rsidRDefault="005368A0" w:rsidP="002A406B">
      <w:pPr>
        <w:pStyle w:val="CelluleTableau"/>
        <w:spacing w:line="240" w:lineRule="auto"/>
        <w:ind w:left="0" w:right="0"/>
        <w:rPr>
          <w:color w:val="auto"/>
        </w:rPr>
      </w:pPr>
      <w:r w:rsidRPr="002A406B">
        <w:t xml:space="preserve">Cet établissement est spécialisé dans l’accompagnement des personnes en situation de handicap, avec pour mission de favoriser leur insertion professionnelle. Il offre un </w:t>
      </w:r>
      <w:r w:rsidRPr="002A406B">
        <w:rPr>
          <w:color w:val="auto"/>
        </w:rPr>
        <w:t>éventail de formations et d’accompagnements, adaptés aux besoins spécifiques de chaque individu, visant à les préparer efficacement au marché du travail.</w:t>
      </w:r>
    </w:p>
    <w:p w14:paraId="5AD7AF9F" w14:textId="77777777" w:rsidR="00A21A9E" w:rsidRPr="002A406B" w:rsidRDefault="00A21A9E" w:rsidP="002A406B">
      <w:pPr>
        <w:pStyle w:val="CelluleTableau"/>
        <w:spacing w:line="240" w:lineRule="auto"/>
        <w:ind w:left="0" w:right="0"/>
        <w:rPr>
          <w:color w:val="auto"/>
        </w:rPr>
      </w:pPr>
    </w:p>
    <w:p w14:paraId="1F793FB4" w14:textId="77777777" w:rsidR="00A21A9E" w:rsidRPr="002A406B" w:rsidRDefault="00A21A9E" w:rsidP="002A406B">
      <w:pPr>
        <w:pStyle w:val="CelluleTableau"/>
        <w:spacing w:line="240" w:lineRule="auto"/>
        <w:ind w:left="0" w:right="0"/>
        <w:rPr>
          <w:color w:val="auto"/>
        </w:rPr>
      </w:pPr>
    </w:p>
    <w:p w14:paraId="6ADF407B" w14:textId="77777777" w:rsidR="005368A0" w:rsidRDefault="005368A0" w:rsidP="002A406B">
      <w:pPr>
        <w:pStyle w:val="EnteteTableau"/>
        <w:numPr>
          <w:ilvl w:val="0"/>
          <w:numId w:val="0"/>
        </w:numPr>
        <w:spacing w:before="0" w:after="0"/>
        <w:ind w:right="0"/>
      </w:pPr>
      <w:r w:rsidRPr="002A406B">
        <w:t>Les services proposés comprennent :</w:t>
      </w:r>
    </w:p>
    <w:p w14:paraId="5CFC400D" w14:textId="77777777" w:rsidR="002A406B" w:rsidRPr="002A406B" w:rsidRDefault="002A406B" w:rsidP="002A406B">
      <w:pPr>
        <w:pStyle w:val="EnteteTableau"/>
        <w:numPr>
          <w:ilvl w:val="0"/>
          <w:numId w:val="0"/>
        </w:numPr>
        <w:spacing w:before="0" w:after="0"/>
        <w:ind w:right="0"/>
      </w:pPr>
    </w:p>
    <w:p w14:paraId="11B9A4A0" w14:textId="0E87996F" w:rsidR="005368A0" w:rsidRPr="002A406B" w:rsidRDefault="005368A0" w:rsidP="002A406B">
      <w:pPr>
        <w:pStyle w:val="Paragraphedeliste"/>
        <w:numPr>
          <w:ilvl w:val="0"/>
          <w:numId w:val="35"/>
        </w:numPr>
        <w:spacing w:line="240" w:lineRule="auto"/>
        <w:ind w:right="0"/>
        <w:rPr>
          <w:color w:val="auto"/>
        </w:rPr>
      </w:pPr>
      <w:r w:rsidRPr="002A406B">
        <w:rPr>
          <w:rFonts w:eastAsia="Times New Roman" w:cs="Times New Roman"/>
          <w:color w:val="auto"/>
        </w:rPr>
        <w:t>Formations qualifiantes : Obtention de diplômes de l’Éducation Nationale (CAP, Bac Professionnels) ou de titres professionnels du Ministère de l’Emploi.</w:t>
      </w:r>
    </w:p>
    <w:p w14:paraId="19ED3E02" w14:textId="2710AE05" w:rsidR="005368A0" w:rsidRPr="002A406B" w:rsidRDefault="005368A0" w:rsidP="002A406B">
      <w:pPr>
        <w:pStyle w:val="Paragraphedeliste"/>
        <w:numPr>
          <w:ilvl w:val="0"/>
          <w:numId w:val="35"/>
        </w:numPr>
        <w:spacing w:line="240" w:lineRule="auto"/>
        <w:ind w:right="0"/>
        <w:rPr>
          <w:color w:val="auto"/>
        </w:rPr>
      </w:pPr>
      <w:r w:rsidRPr="002A406B">
        <w:rPr>
          <w:rFonts w:eastAsia="Times New Roman" w:cs="Times New Roman"/>
          <w:color w:val="auto"/>
        </w:rPr>
        <w:t>Formations préparatoires : Aide à l'élaboration d'un projet professionnel tout en consolidant les savoirs de base.</w:t>
      </w:r>
    </w:p>
    <w:p w14:paraId="3D7088D3" w14:textId="4AA4635A" w:rsidR="005368A0" w:rsidRPr="002A406B" w:rsidRDefault="005368A0" w:rsidP="002A406B">
      <w:pPr>
        <w:pStyle w:val="Paragraphedeliste"/>
        <w:numPr>
          <w:ilvl w:val="0"/>
          <w:numId w:val="35"/>
        </w:numPr>
        <w:spacing w:line="240" w:lineRule="auto"/>
        <w:ind w:right="0"/>
        <w:rPr>
          <w:rFonts w:eastAsia="Times New Roman" w:cs="Times New Roman"/>
          <w:color w:val="auto"/>
        </w:rPr>
      </w:pPr>
      <w:r w:rsidRPr="002A406B">
        <w:rPr>
          <w:rFonts w:eastAsia="Times New Roman" w:cs="Times New Roman"/>
          <w:color w:val="auto"/>
        </w:rPr>
        <w:t>Accompagnement médico-psycho-social : Soutien personnalisé par une équipe pluridisciplinaire comprenant infirmières, neuropsychologues, éducateurs spécialisés, ergothérapeutes, etc.</w:t>
      </w:r>
    </w:p>
    <w:p w14:paraId="098DA72C" w14:textId="77777777" w:rsidR="00A21A9E" w:rsidRPr="002A406B" w:rsidRDefault="00A21A9E" w:rsidP="002A406B">
      <w:pPr>
        <w:spacing w:line="240" w:lineRule="auto"/>
        <w:ind w:left="0" w:right="0" w:firstLine="0"/>
        <w:rPr>
          <w:rFonts w:eastAsia="Times New Roman" w:cs="Times New Roman"/>
          <w:color w:val="auto"/>
        </w:rPr>
      </w:pPr>
    </w:p>
    <w:p w14:paraId="1A53011A" w14:textId="77777777" w:rsidR="00A21A9E" w:rsidRPr="002A406B" w:rsidRDefault="00A21A9E" w:rsidP="002A406B">
      <w:pPr>
        <w:spacing w:line="240" w:lineRule="auto"/>
        <w:ind w:left="0" w:right="0" w:firstLine="0"/>
        <w:rPr>
          <w:color w:val="auto"/>
        </w:rPr>
      </w:pPr>
    </w:p>
    <w:p w14:paraId="213DE60A" w14:textId="1C05EA00" w:rsidR="005368A0" w:rsidRPr="002A406B" w:rsidRDefault="005368A0" w:rsidP="002A406B">
      <w:pPr>
        <w:pStyle w:val="EnteteTableau"/>
        <w:numPr>
          <w:ilvl w:val="0"/>
          <w:numId w:val="0"/>
        </w:numPr>
        <w:spacing w:before="0" w:after="0"/>
        <w:ind w:right="0"/>
      </w:pPr>
      <w:r w:rsidRPr="002A406B">
        <w:t>Méthodologie</w:t>
      </w:r>
      <w:r w:rsidR="00A21A9E" w:rsidRPr="002A406B">
        <w:rPr>
          <w:rFonts w:ascii="Calibri" w:hAnsi="Calibri"/>
        </w:rPr>
        <w:t> </w:t>
      </w:r>
      <w:r w:rsidR="00A21A9E" w:rsidRPr="002A406B">
        <w:t>:</w:t>
      </w:r>
    </w:p>
    <w:p w14:paraId="79AB8ED5" w14:textId="77777777" w:rsidR="002A406B" w:rsidRDefault="002A406B" w:rsidP="002A406B">
      <w:pPr>
        <w:pStyle w:val="CelluleTableau"/>
        <w:spacing w:line="240" w:lineRule="auto"/>
        <w:ind w:left="0" w:right="0"/>
      </w:pPr>
    </w:p>
    <w:p w14:paraId="5EAEC9E0" w14:textId="77777777" w:rsidR="005368A0" w:rsidRPr="002A406B" w:rsidRDefault="005368A0" w:rsidP="002A406B">
      <w:pPr>
        <w:pStyle w:val="CelluleTableau"/>
        <w:spacing w:line="240" w:lineRule="auto"/>
        <w:ind w:left="0" w:right="0"/>
      </w:pPr>
      <w:r w:rsidRPr="002A406B">
        <w:t>L’ESRP EPNAK de Lyon met en œuvre une méthodologie centrée sur l’individualisation des parcours pédagogiques.</w:t>
      </w:r>
    </w:p>
    <w:p w14:paraId="29EEB8C6" w14:textId="77777777" w:rsidR="00A21A9E" w:rsidRPr="002A406B" w:rsidRDefault="00A21A9E" w:rsidP="002A406B">
      <w:pPr>
        <w:pStyle w:val="CelluleTableau"/>
        <w:spacing w:line="240" w:lineRule="auto"/>
        <w:ind w:left="0" w:right="0"/>
      </w:pPr>
    </w:p>
    <w:p w14:paraId="728371B6" w14:textId="77777777" w:rsidR="005368A0" w:rsidRPr="002A406B" w:rsidRDefault="005368A0" w:rsidP="002A406B">
      <w:pPr>
        <w:pStyle w:val="CelluleTableau"/>
        <w:spacing w:line="240" w:lineRule="auto"/>
        <w:ind w:left="0" w:right="0"/>
      </w:pPr>
      <w:r w:rsidRPr="002A406B">
        <w:t>Cela inclut :</w:t>
      </w:r>
    </w:p>
    <w:p w14:paraId="45936B1A" w14:textId="77777777" w:rsidR="002A406B" w:rsidRDefault="002A406B" w:rsidP="002A406B">
      <w:pPr>
        <w:pStyle w:val="CelluleTableau"/>
        <w:spacing w:line="240" w:lineRule="auto"/>
        <w:ind w:left="0" w:right="0"/>
      </w:pPr>
    </w:p>
    <w:p w14:paraId="37AE3D11" w14:textId="77777777" w:rsidR="005368A0" w:rsidRPr="002A406B" w:rsidRDefault="005368A0" w:rsidP="002A406B">
      <w:pPr>
        <w:pStyle w:val="CelluleTableau"/>
        <w:spacing w:line="240" w:lineRule="auto"/>
        <w:ind w:left="0" w:right="0"/>
      </w:pPr>
      <w:r w:rsidRPr="002A406B">
        <w:t>Des parcours pédagogiques individualisés : Chaque formation est adaptée aux besoins spécifiques des stagiaires, en prenant en compte leurs capacités et leurs projets professionnels.</w:t>
      </w:r>
    </w:p>
    <w:p w14:paraId="3A5C4EDA" w14:textId="77777777" w:rsidR="00A21A9E" w:rsidRPr="002A406B" w:rsidRDefault="00A21A9E" w:rsidP="002A406B">
      <w:pPr>
        <w:pStyle w:val="CelluleTableau"/>
        <w:spacing w:line="240" w:lineRule="auto"/>
        <w:ind w:left="0" w:right="0"/>
      </w:pPr>
    </w:p>
    <w:p w14:paraId="32698906" w14:textId="77777777" w:rsidR="005368A0" w:rsidRPr="002A406B" w:rsidRDefault="005368A0" w:rsidP="002A406B">
      <w:pPr>
        <w:pStyle w:val="CelluleTableau"/>
        <w:spacing w:line="240" w:lineRule="auto"/>
        <w:ind w:left="0" w:right="0"/>
      </w:pPr>
      <w:r w:rsidRPr="002A406B">
        <w:t>Des périodes de formation en milieu professionnel : Les stagiaires effectuent des stages en entreprise pour appliquer leurs compétences dans un environnement réel, ce qui est essentiel pour leur future intégration dans le monde du travail.</w:t>
      </w:r>
    </w:p>
    <w:p w14:paraId="0249DFE9" w14:textId="77777777" w:rsidR="00A21A9E" w:rsidRPr="002A406B" w:rsidRDefault="00A21A9E" w:rsidP="002A406B">
      <w:pPr>
        <w:pStyle w:val="CelluleTableau"/>
        <w:spacing w:line="240" w:lineRule="auto"/>
        <w:ind w:left="0" w:right="0"/>
      </w:pPr>
    </w:p>
    <w:p w14:paraId="671F9188" w14:textId="77777777" w:rsidR="00A21A9E" w:rsidRPr="002A406B" w:rsidRDefault="00A21A9E" w:rsidP="002A406B">
      <w:pPr>
        <w:pStyle w:val="CelluleTableau"/>
        <w:spacing w:line="240" w:lineRule="auto"/>
        <w:ind w:left="0" w:right="0"/>
      </w:pPr>
    </w:p>
    <w:p w14:paraId="15BA6879" w14:textId="77777777" w:rsidR="005368A0" w:rsidRPr="002A406B" w:rsidRDefault="005368A0" w:rsidP="002A406B">
      <w:pPr>
        <w:pStyle w:val="CelluleTableau"/>
        <w:spacing w:line="240" w:lineRule="auto"/>
        <w:ind w:left="0" w:right="0"/>
      </w:pPr>
      <w:r w:rsidRPr="002A406B">
        <w:t>Un accompagnement à la recherche d'emploi : Des ateliers sont proposés pour aider les stagiaires à développer des stratégies de recherche de stage et d'emploi. Une chargée d'insertion les accompagne tout au long de ce processus.</w:t>
      </w:r>
    </w:p>
    <w:p w14:paraId="2B46B3C3" w14:textId="77777777" w:rsidR="005368A0" w:rsidRPr="002A406B" w:rsidRDefault="005368A0" w:rsidP="002A406B">
      <w:pPr>
        <w:spacing w:line="240" w:lineRule="auto"/>
        <w:ind w:left="0" w:right="0" w:firstLine="0"/>
        <w:rPr>
          <w:color w:val="auto"/>
        </w:rPr>
      </w:pPr>
    </w:p>
    <w:p w14:paraId="71495F71" w14:textId="77777777" w:rsidR="005368A0" w:rsidRPr="002A406B" w:rsidRDefault="005368A0" w:rsidP="002A406B">
      <w:pPr>
        <w:pStyle w:val="CelluleTableau"/>
        <w:spacing w:line="240" w:lineRule="auto"/>
        <w:ind w:left="0" w:right="0"/>
      </w:pPr>
      <w:r w:rsidRPr="002A406B">
        <w:t>La flexibilité des horaires et la possibilité de suivre certaines formations à distance, comme l’a souligné Audrey Perrou, présidente du Conseil de la vie sociale (CVS) de l’ESRP EPNAK, illustrent l’adaptabilité de l’établissement aux besoins spécifiques des personnes handicapées.</w:t>
      </w:r>
    </w:p>
    <w:p w14:paraId="26DF6332" w14:textId="5F88FEF5" w:rsidR="005368A0" w:rsidRPr="002A406B" w:rsidRDefault="005368A0" w:rsidP="002A406B">
      <w:pPr>
        <w:pStyle w:val="EnteteTableau"/>
        <w:numPr>
          <w:ilvl w:val="0"/>
          <w:numId w:val="0"/>
        </w:numPr>
        <w:spacing w:before="0" w:after="0"/>
        <w:ind w:right="0"/>
      </w:pPr>
    </w:p>
    <w:p w14:paraId="62ED336D" w14:textId="4380A9AC" w:rsidR="005368A0" w:rsidRPr="002A406B" w:rsidRDefault="005368A0" w:rsidP="002A406B">
      <w:pPr>
        <w:pStyle w:val="CelluleTableau"/>
        <w:spacing w:line="240" w:lineRule="auto"/>
        <w:ind w:left="0" w:right="0"/>
      </w:pPr>
    </w:p>
    <w:p w14:paraId="40DADAA1" w14:textId="021C51B1" w:rsidR="005368A0" w:rsidRPr="002A406B" w:rsidRDefault="005368A0" w:rsidP="002A406B">
      <w:pPr>
        <w:pStyle w:val="Titre1"/>
        <w:numPr>
          <w:ilvl w:val="0"/>
          <w:numId w:val="0"/>
        </w:numPr>
        <w:spacing w:before="0" w:line="240" w:lineRule="auto"/>
        <w:ind w:right="0"/>
        <w:rPr>
          <w:szCs w:val="24"/>
        </w:rPr>
      </w:pPr>
      <w:r w:rsidRPr="002A406B">
        <w:rPr>
          <w:szCs w:val="24"/>
        </w:rPr>
        <w:t>DOMAINE</w:t>
      </w:r>
      <w:r w:rsidR="00A21A9E" w:rsidRPr="002A406B">
        <w:rPr>
          <w:rFonts w:ascii="Calibri" w:hAnsi="Calibri" w:cs="Calibri"/>
          <w:szCs w:val="24"/>
        </w:rPr>
        <w:t> </w:t>
      </w:r>
      <w:r w:rsidR="00A21A9E" w:rsidRPr="002A406B">
        <w:rPr>
          <w:szCs w:val="24"/>
        </w:rPr>
        <w:t>:</w:t>
      </w:r>
    </w:p>
    <w:p w14:paraId="39FA1489" w14:textId="77777777" w:rsidR="002A406B" w:rsidRDefault="002A406B" w:rsidP="002A406B">
      <w:pPr>
        <w:pStyle w:val="EnteteTableau"/>
        <w:numPr>
          <w:ilvl w:val="0"/>
          <w:numId w:val="0"/>
        </w:numPr>
        <w:spacing w:before="0" w:after="0"/>
        <w:ind w:right="0"/>
      </w:pPr>
    </w:p>
    <w:p w14:paraId="49F29892" w14:textId="77777777" w:rsidR="002A406B" w:rsidRDefault="002A406B" w:rsidP="002A406B">
      <w:pPr>
        <w:pStyle w:val="EnteteTableau"/>
        <w:numPr>
          <w:ilvl w:val="0"/>
          <w:numId w:val="0"/>
        </w:numPr>
        <w:spacing w:before="0" w:after="0"/>
        <w:ind w:right="0"/>
      </w:pPr>
    </w:p>
    <w:p w14:paraId="16A84401" w14:textId="4BF41A6E" w:rsidR="005368A0" w:rsidRPr="002A406B" w:rsidRDefault="005368A0" w:rsidP="002A406B">
      <w:pPr>
        <w:pStyle w:val="EnteteTableau"/>
        <w:numPr>
          <w:ilvl w:val="0"/>
          <w:numId w:val="0"/>
        </w:numPr>
        <w:spacing w:before="0" w:after="0"/>
        <w:ind w:right="0"/>
      </w:pPr>
      <w:r w:rsidRPr="002A406B">
        <w:t>Facilitation de l'accès à l'emploi</w:t>
      </w:r>
      <w:r w:rsidR="00A21A9E" w:rsidRPr="002A406B">
        <w:rPr>
          <w:rFonts w:ascii="Calibri" w:hAnsi="Calibri"/>
        </w:rPr>
        <w:t> </w:t>
      </w:r>
      <w:r w:rsidR="00A21A9E" w:rsidRPr="002A406B">
        <w:t>:</w:t>
      </w:r>
    </w:p>
    <w:p w14:paraId="7AD3F9D8" w14:textId="77777777" w:rsidR="002A406B" w:rsidRDefault="002A406B" w:rsidP="002A406B">
      <w:pPr>
        <w:pStyle w:val="CelluleTableau"/>
        <w:spacing w:line="240" w:lineRule="auto"/>
        <w:ind w:left="0" w:right="0"/>
      </w:pPr>
    </w:p>
    <w:p w14:paraId="50459DB9" w14:textId="77777777" w:rsidR="005368A0" w:rsidRPr="002A406B" w:rsidRDefault="005368A0" w:rsidP="002A406B">
      <w:pPr>
        <w:pStyle w:val="CelluleTableau"/>
        <w:spacing w:line="240" w:lineRule="auto"/>
        <w:ind w:left="0" w:right="0"/>
      </w:pPr>
      <w:r w:rsidRPr="002A406B">
        <w:t>Programmes et dispositifs d’accompagnement destinés à améliorer l'accès aux opportunités d'emploi pour les personnes en situation de handicap.</w:t>
      </w:r>
    </w:p>
    <w:p w14:paraId="542B1E54" w14:textId="77777777" w:rsidR="00A21A9E" w:rsidRPr="002A406B" w:rsidRDefault="00A21A9E" w:rsidP="002A406B">
      <w:pPr>
        <w:pStyle w:val="CelluleTableau"/>
        <w:spacing w:line="240" w:lineRule="auto"/>
        <w:ind w:left="0" w:right="0"/>
      </w:pPr>
    </w:p>
    <w:p w14:paraId="6EA6C939" w14:textId="77777777" w:rsidR="00A21A9E" w:rsidRPr="002A406B" w:rsidRDefault="00A21A9E" w:rsidP="002A406B">
      <w:pPr>
        <w:pStyle w:val="CelluleTableau"/>
        <w:spacing w:line="240" w:lineRule="auto"/>
        <w:ind w:left="0" w:right="0"/>
      </w:pPr>
    </w:p>
    <w:p w14:paraId="0EE15682" w14:textId="1A76A1D5" w:rsidR="005368A0" w:rsidRPr="002A406B" w:rsidRDefault="005368A0" w:rsidP="002A406B">
      <w:pPr>
        <w:pStyle w:val="EnteteTableau"/>
        <w:numPr>
          <w:ilvl w:val="0"/>
          <w:numId w:val="0"/>
        </w:numPr>
        <w:spacing w:before="0" w:after="0"/>
        <w:ind w:right="0"/>
      </w:pPr>
      <w:r w:rsidRPr="002A406B">
        <w:t>Renforcement des compétences transversales</w:t>
      </w:r>
      <w:r w:rsidR="00A21A9E" w:rsidRPr="002A406B">
        <w:rPr>
          <w:rFonts w:ascii="Calibri" w:hAnsi="Calibri"/>
        </w:rPr>
        <w:t> </w:t>
      </w:r>
      <w:r w:rsidR="00A21A9E" w:rsidRPr="002A406B">
        <w:t>:</w:t>
      </w:r>
    </w:p>
    <w:p w14:paraId="3124C762" w14:textId="77777777" w:rsidR="002A406B" w:rsidRDefault="002A406B" w:rsidP="002A406B">
      <w:pPr>
        <w:pStyle w:val="CelluleTableau"/>
        <w:spacing w:line="240" w:lineRule="auto"/>
        <w:ind w:left="0" w:right="0"/>
      </w:pPr>
    </w:p>
    <w:p w14:paraId="75C063C8" w14:textId="77777777" w:rsidR="005368A0" w:rsidRPr="002A406B" w:rsidRDefault="005368A0" w:rsidP="002A406B">
      <w:pPr>
        <w:pStyle w:val="CelluleTableau"/>
        <w:spacing w:line="240" w:lineRule="auto"/>
        <w:ind w:left="0" w:right="0"/>
      </w:pPr>
      <w:r w:rsidRPr="002A406B">
        <w:t>Développement des compétences clés, y compris émotionnelles et relationnelles, essentielles pour réussir dans un environnement professionnel diversifié.</w:t>
      </w:r>
    </w:p>
    <w:p w14:paraId="15374DF7" w14:textId="77777777" w:rsidR="00A21A9E" w:rsidRPr="002A406B" w:rsidRDefault="00A21A9E" w:rsidP="002A406B">
      <w:pPr>
        <w:pStyle w:val="CelluleTableau"/>
        <w:spacing w:line="240" w:lineRule="auto"/>
        <w:ind w:left="0" w:right="0"/>
      </w:pPr>
    </w:p>
    <w:p w14:paraId="05B6C138" w14:textId="77777777" w:rsidR="00A21A9E" w:rsidRPr="002A406B" w:rsidRDefault="00A21A9E" w:rsidP="002A406B">
      <w:pPr>
        <w:pStyle w:val="CelluleTableau"/>
        <w:spacing w:line="240" w:lineRule="auto"/>
        <w:ind w:left="0" w:right="0"/>
      </w:pPr>
    </w:p>
    <w:p w14:paraId="35BB914A" w14:textId="7B56ECAA" w:rsidR="005368A0" w:rsidRPr="002A406B" w:rsidRDefault="005368A0" w:rsidP="002A406B">
      <w:pPr>
        <w:pStyle w:val="EnteteTableau"/>
        <w:numPr>
          <w:ilvl w:val="0"/>
          <w:numId w:val="0"/>
        </w:numPr>
        <w:spacing w:before="0" w:after="0"/>
        <w:ind w:right="0"/>
      </w:pPr>
      <w:r w:rsidRPr="002A406B">
        <w:t>Amélioration des compétences numériques</w:t>
      </w:r>
      <w:r w:rsidR="00A21A9E" w:rsidRPr="002A406B">
        <w:rPr>
          <w:rFonts w:ascii="Calibri" w:hAnsi="Calibri"/>
        </w:rPr>
        <w:t> </w:t>
      </w:r>
      <w:r w:rsidR="00A21A9E" w:rsidRPr="002A406B">
        <w:t>:</w:t>
      </w:r>
    </w:p>
    <w:p w14:paraId="6B01D470" w14:textId="77777777" w:rsidR="002A406B" w:rsidRDefault="002A406B" w:rsidP="002A406B">
      <w:pPr>
        <w:pStyle w:val="CelluleTableau"/>
        <w:spacing w:line="240" w:lineRule="auto"/>
        <w:ind w:left="0" w:right="0"/>
      </w:pPr>
    </w:p>
    <w:p w14:paraId="77C192EE" w14:textId="77777777" w:rsidR="005368A0" w:rsidRPr="002A406B" w:rsidRDefault="005368A0" w:rsidP="002A406B">
      <w:pPr>
        <w:pStyle w:val="CelluleTableau"/>
        <w:spacing w:line="240" w:lineRule="auto"/>
        <w:ind w:left="0" w:right="0"/>
      </w:pPr>
      <w:r w:rsidRPr="002A406B">
        <w:t>Des modules spécifiques visent à développer les compétences numériques nécessaires pour maximiser l’employabilité des stagiaires.</w:t>
      </w:r>
    </w:p>
    <w:p w14:paraId="50C232AA" w14:textId="77777777" w:rsidR="00A21A9E" w:rsidRPr="002A406B" w:rsidRDefault="00A21A9E" w:rsidP="002A406B">
      <w:pPr>
        <w:pStyle w:val="CelluleTableau"/>
        <w:spacing w:line="240" w:lineRule="auto"/>
        <w:ind w:left="0" w:right="0"/>
      </w:pPr>
    </w:p>
    <w:p w14:paraId="451E75CE" w14:textId="403FC4B9" w:rsidR="002A406B" w:rsidRDefault="002A406B">
      <w:pPr>
        <w:spacing w:after="160" w:line="259" w:lineRule="auto"/>
        <w:ind w:left="0" w:right="0" w:firstLine="0"/>
        <w:rPr>
          <w:rFonts w:eastAsia="Times New Roman" w:cs="Times New Roman"/>
        </w:rPr>
      </w:pPr>
      <w:r>
        <w:br w:type="page"/>
      </w:r>
    </w:p>
    <w:p w14:paraId="696AC6BE" w14:textId="77777777" w:rsidR="00A21A9E" w:rsidRPr="002A406B" w:rsidRDefault="00A21A9E" w:rsidP="002A406B">
      <w:pPr>
        <w:pStyle w:val="CelluleTableau"/>
        <w:spacing w:line="240" w:lineRule="auto"/>
        <w:ind w:left="0" w:right="0"/>
      </w:pPr>
    </w:p>
    <w:p w14:paraId="653FD326" w14:textId="0C458063" w:rsidR="005368A0" w:rsidRPr="002A406B" w:rsidRDefault="005368A0" w:rsidP="002A406B">
      <w:pPr>
        <w:pStyle w:val="EnteteTableau"/>
        <w:numPr>
          <w:ilvl w:val="0"/>
          <w:numId w:val="0"/>
        </w:numPr>
        <w:spacing w:before="0" w:after="0"/>
        <w:ind w:right="0"/>
      </w:pPr>
      <w:r w:rsidRPr="002A406B">
        <w:t>Outils et services de compensation du handicap</w:t>
      </w:r>
      <w:r w:rsidR="00A21A9E" w:rsidRPr="002A406B">
        <w:rPr>
          <w:rFonts w:ascii="Calibri" w:hAnsi="Calibri"/>
        </w:rPr>
        <w:t> </w:t>
      </w:r>
      <w:r w:rsidR="00A21A9E" w:rsidRPr="002A406B">
        <w:t>:</w:t>
      </w:r>
    </w:p>
    <w:p w14:paraId="4057698C" w14:textId="77777777" w:rsidR="002A406B" w:rsidRDefault="002A406B" w:rsidP="002A406B">
      <w:pPr>
        <w:pStyle w:val="CelluleTableau"/>
        <w:spacing w:line="240" w:lineRule="auto"/>
        <w:ind w:left="0" w:right="0"/>
      </w:pPr>
    </w:p>
    <w:p w14:paraId="5C9457CF" w14:textId="77777777" w:rsidR="005368A0" w:rsidRPr="002A406B" w:rsidRDefault="005368A0" w:rsidP="002A406B">
      <w:pPr>
        <w:pStyle w:val="CelluleTableau"/>
        <w:spacing w:line="240" w:lineRule="auto"/>
        <w:ind w:left="0" w:right="0"/>
      </w:pPr>
      <w:r w:rsidRPr="002A406B">
        <w:t>Mise en place de dispositifs adaptés, incluant des outils technologiques et des méthodes d'accompagnement médico-psycho-social (MPSI), pour compenser les déficiences et faciliter l'accès à la formation et à l'emploi.</w:t>
      </w:r>
    </w:p>
    <w:p w14:paraId="747909BB" w14:textId="77777777" w:rsidR="002A406B" w:rsidRDefault="002A406B" w:rsidP="002A406B">
      <w:pPr>
        <w:pStyle w:val="EnteteTableau"/>
        <w:numPr>
          <w:ilvl w:val="0"/>
          <w:numId w:val="0"/>
        </w:numPr>
        <w:spacing w:before="0" w:after="0"/>
        <w:ind w:right="0"/>
      </w:pPr>
    </w:p>
    <w:p w14:paraId="62773E06" w14:textId="77777777" w:rsidR="002A406B" w:rsidRDefault="002A406B" w:rsidP="002A406B">
      <w:pPr>
        <w:pStyle w:val="EnteteTableau"/>
        <w:numPr>
          <w:ilvl w:val="0"/>
          <w:numId w:val="0"/>
        </w:numPr>
        <w:spacing w:before="0" w:after="0"/>
        <w:ind w:right="0"/>
      </w:pPr>
    </w:p>
    <w:p w14:paraId="0FF19C04" w14:textId="77777777" w:rsidR="005368A0" w:rsidRPr="002A406B" w:rsidRDefault="005368A0" w:rsidP="002A406B">
      <w:pPr>
        <w:pStyle w:val="Titre1"/>
        <w:numPr>
          <w:ilvl w:val="0"/>
          <w:numId w:val="0"/>
        </w:numPr>
        <w:spacing w:before="0" w:line="240" w:lineRule="auto"/>
        <w:ind w:right="0"/>
        <w:rPr>
          <w:szCs w:val="24"/>
        </w:rPr>
      </w:pPr>
      <w:r w:rsidRPr="002A406B">
        <w:rPr>
          <w:szCs w:val="24"/>
        </w:rPr>
        <w:t>PRODUITS / RÉSULTATS :</w:t>
      </w:r>
    </w:p>
    <w:p w14:paraId="13934606" w14:textId="77777777" w:rsidR="002A406B" w:rsidRDefault="002A406B" w:rsidP="002A406B">
      <w:pPr>
        <w:pStyle w:val="EnteteTableau"/>
        <w:numPr>
          <w:ilvl w:val="0"/>
          <w:numId w:val="0"/>
        </w:numPr>
        <w:spacing w:before="0" w:after="0"/>
        <w:ind w:right="0"/>
      </w:pPr>
    </w:p>
    <w:p w14:paraId="13F1FF7E" w14:textId="77777777" w:rsidR="002A406B" w:rsidRDefault="002A406B" w:rsidP="002A406B">
      <w:pPr>
        <w:pStyle w:val="EnteteTableau"/>
        <w:numPr>
          <w:ilvl w:val="0"/>
          <w:numId w:val="0"/>
        </w:numPr>
        <w:spacing w:before="0" w:after="0"/>
        <w:ind w:right="0"/>
      </w:pPr>
    </w:p>
    <w:p w14:paraId="2F7A9EAA" w14:textId="6A763031" w:rsidR="005368A0" w:rsidRPr="002A406B" w:rsidRDefault="005368A0" w:rsidP="002A406B">
      <w:pPr>
        <w:pStyle w:val="EnteteTableau"/>
        <w:numPr>
          <w:ilvl w:val="0"/>
          <w:numId w:val="0"/>
        </w:numPr>
        <w:spacing w:before="0" w:after="0"/>
        <w:ind w:right="0"/>
      </w:pPr>
      <w:r w:rsidRPr="002A406B">
        <w:t>Type de produit</w:t>
      </w:r>
      <w:r w:rsidR="00A21A9E" w:rsidRPr="002A406B">
        <w:rPr>
          <w:rFonts w:ascii="Calibri" w:hAnsi="Calibri"/>
        </w:rPr>
        <w:t> </w:t>
      </w:r>
      <w:r w:rsidR="00A21A9E" w:rsidRPr="002A406B">
        <w:t>:</w:t>
      </w:r>
    </w:p>
    <w:p w14:paraId="45E337CD" w14:textId="77777777" w:rsidR="002A406B" w:rsidRDefault="002A406B" w:rsidP="002A406B">
      <w:pPr>
        <w:pStyle w:val="CelluleTableau"/>
        <w:spacing w:line="240" w:lineRule="auto"/>
        <w:ind w:left="0" w:right="0"/>
      </w:pPr>
    </w:p>
    <w:p w14:paraId="0E25B88D" w14:textId="77777777" w:rsidR="005368A0" w:rsidRPr="002A406B" w:rsidRDefault="005368A0" w:rsidP="002A406B">
      <w:pPr>
        <w:pStyle w:val="CelluleTableau"/>
        <w:spacing w:line="240" w:lineRule="auto"/>
        <w:ind w:left="0" w:right="0"/>
      </w:pPr>
      <w:r w:rsidRPr="002A406B">
        <w:t>Diplômes de l’Éducation Nationale, titres professionnels, stages en entreprise, programmes de formation adaptés, accompagnement à l’insertion professionnelle.</w:t>
      </w:r>
    </w:p>
    <w:p w14:paraId="5323C84D" w14:textId="77777777" w:rsidR="00A21A9E" w:rsidRPr="002A406B" w:rsidRDefault="00A21A9E" w:rsidP="002A406B">
      <w:pPr>
        <w:pStyle w:val="CelluleTableau"/>
        <w:spacing w:line="240" w:lineRule="auto"/>
        <w:ind w:left="0" w:right="0"/>
      </w:pPr>
    </w:p>
    <w:p w14:paraId="1EC81F85" w14:textId="77777777" w:rsidR="00A21A9E" w:rsidRPr="002A406B" w:rsidRDefault="00A21A9E" w:rsidP="002A406B">
      <w:pPr>
        <w:pStyle w:val="CelluleTableau"/>
        <w:spacing w:line="240" w:lineRule="auto"/>
        <w:ind w:left="0" w:right="0"/>
      </w:pPr>
    </w:p>
    <w:p w14:paraId="5825B610" w14:textId="5C252C6E" w:rsidR="005368A0" w:rsidRPr="002A406B" w:rsidRDefault="005368A0" w:rsidP="002A406B">
      <w:pPr>
        <w:pStyle w:val="EnteteTableau"/>
        <w:numPr>
          <w:ilvl w:val="0"/>
          <w:numId w:val="0"/>
        </w:numPr>
        <w:spacing w:before="0" w:after="0"/>
        <w:ind w:right="0"/>
      </w:pPr>
      <w:r w:rsidRPr="002A406B">
        <w:t>Brève description</w:t>
      </w:r>
      <w:r w:rsidR="00A21A9E" w:rsidRPr="002A406B">
        <w:rPr>
          <w:rFonts w:ascii="Calibri" w:hAnsi="Calibri"/>
        </w:rPr>
        <w:t> </w:t>
      </w:r>
      <w:r w:rsidR="00A21A9E" w:rsidRPr="002A406B">
        <w:t>:</w:t>
      </w:r>
    </w:p>
    <w:p w14:paraId="38E081B3" w14:textId="77777777" w:rsidR="002A406B" w:rsidRDefault="002A406B" w:rsidP="002A406B">
      <w:pPr>
        <w:pStyle w:val="CelluleTableau"/>
        <w:spacing w:line="240" w:lineRule="auto"/>
        <w:ind w:left="0" w:right="0"/>
      </w:pPr>
    </w:p>
    <w:p w14:paraId="39C67089" w14:textId="77777777" w:rsidR="005368A0" w:rsidRDefault="005368A0" w:rsidP="002A406B">
      <w:pPr>
        <w:pStyle w:val="CelluleTableau"/>
        <w:spacing w:line="240" w:lineRule="auto"/>
        <w:ind w:left="0" w:right="0"/>
      </w:pPr>
      <w:r w:rsidRPr="002A406B">
        <w:t>L’ESRP EPNAK de Lyon se distingue par un taux de réinsertion professionnelle d’environ 70%. Ces résultats témoignent de l’efficacité des formations et de l'accompagnement personnalisé mis en place. Les dispositifs d'accompagnement, comme le job coaching et les stages pratiques, jouent un rôle clé dans la préparation des stagiaires à leur future carrière.</w:t>
      </w:r>
    </w:p>
    <w:p w14:paraId="17DC7BC8" w14:textId="77777777" w:rsidR="002A406B" w:rsidRDefault="002A406B" w:rsidP="002A406B">
      <w:pPr>
        <w:pStyle w:val="CelluleTableau"/>
        <w:spacing w:line="240" w:lineRule="auto"/>
        <w:ind w:left="0" w:right="0"/>
      </w:pPr>
    </w:p>
    <w:p w14:paraId="008573A3" w14:textId="77777777" w:rsidR="002A406B" w:rsidRPr="002A406B" w:rsidRDefault="002A406B" w:rsidP="002A406B">
      <w:pPr>
        <w:pStyle w:val="CelluleTableau"/>
        <w:spacing w:line="240" w:lineRule="auto"/>
        <w:ind w:left="0" w:right="0"/>
      </w:pPr>
    </w:p>
    <w:p w14:paraId="0CD800C1" w14:textId="77777777" w:rsidR="005368A0" w:rsidRPr="002A406B" w:rsidRDefault="005368A0" w:rsidP="002A406B">
      <w:pPr>
        <w:pStyle w:val="Titre1"/>
        <w:numPr>
          <w:ilvl w:val="0"/>
          <w:numId w:val="0"/>
        </w:numPr>
        <w:spacing w:before="0" w:line="240" w:lineRule="auto"/>
        <w:ind w:right="0"/>
        <w:rPr>
          <w:szCs w:val="24"/>
        </w:rPr>
      </w:pPr>
      <w:r w:rsidRPr="002A406B">
        <w:rPr>
          <w:szCs w:val="24"/>
        </w:rPr>
        <w:t>IMPACT ET TRANSFÉRABILITÉ :</w:t>
      </w:r>
    </w:p>
    <w:p w14:paraId="07AA263A" w14:textId="77777777" w:rsidR="002A406B" w:rsidRDefault="002A406B" w:rsidP="002A406B">
      <w:pPr>
        <w:pStyle w:val="EnteteTableau"/>
        <w:numPr>
          <w:ilvl w:val="0"/>
          <w:numId w:val="0"/>
        </w:numPr>
        <w:spacing w:before="0" w:after="0"/>
        <w:ind w:right="0"/>
        <w:rPr>
          <w:color w:val="auto"/>
        </w:rPr>
      </w:pPr>
    </w:p>
    <w:p w14:paraId="258936AB" w14:textId="77777777" w:rsidR="002A406B" w:rsidRDefault="002A406B" w:rsidP="002A406B">
      <w:pPr>
        <w:pStyle w:val="EnteteTableau"/>
        <w:numPr>
          <w:ilvl w:val="0"/>
          <w:numId w:val="0"/>
        </w:numPr>
        <w:spacing w:before="0" w:after="0"/>
        <w:ind w:right="0"/>
        <w:rPr>
          <w:color w:val="auto"/>
        </w:rPr>
      </w:pPr>
    </w:p>
    <w:p w14:paraId="33FB7AF6" w14:textId="6FA3E58E" w:rsidR="005368A0" w:rsidRPr="002A406B" w:rsidRDefault="005368A0" w:rsidP="002A406B">
      <w:pPr>
        <w:pStyle w:val="EnteteTableau"/>
        <w:numPr>
          <w:ilvl w:val="0"/>
          <w:numId w:val="0"/>
        </w:numPr>
        <w:spacing w:before="0" w:after="0"/>
        <w:ind w:right="0"/>
        <w:rPr>
          <w:color w:val="auto"/>
        </w:rPr>
      </w:pPr>
      <w:r w:rsidRPr="002A406B">
        <w:t xml:space="preserve">Impact sur les groupes </w:t>
      </w:r>
      <w:r w:rsidRPr="002A406B">
        <w:rPr>
          <w:rFonts w:eastAsia="Times New Roman" w:cs="Times New Roman"/>
          <w:color w:val="auto"/>
        </w:rPr>
        <w:t>cibles</w:t>
      </w:r>
      <w:r w:rsidR="00A21A9E" w:rsidRPr="002A406B">
        <w:rPr>
          <w:rFonts w:ascii="Calibri" w:eastAsia="Times New Roman" w:hAnsi="Calibri"/>
          <w:color w:val="auto"/>
        </w:rPr>
        <w:t> </w:t>
      </w:r>
      <w:r w:rsidR="00A21A9E" w:rsidRPr="002A406B">
        <w:rPr>
          <w:rFonts w:eastAsia="Times New Roman" w:cs="Times New Roman"/>
          <w:color w:val="auto"/>
        </w:rPr>
        <w:t>:</w:t>
      </w:r>
    </w:p>
    <w:p w14:paraId="1C030F6C" w14:textId="77777777" w:rsidR="002A406B" w:rsidRDefault="002A406B" w:rsidP="002A406B">
      <w:pPr>
        <w:pStyle w:val="CelluleTableau"/>
        <w:spacing w:line="240" w:lineRule="auto"/>
        <w:ind w:left="0" w:right="0"/>
      </w:pPr>
    </w:p>
    <w:p w14:paraId="51A8F606" w14:textId="77777777" w:rsidR="005368A0" w:rsidRPr="002A406B" w:rsidRDefault="005368A0" w:rsidP="002A406B">
      <w:pPr>
        <w:pStyle w:val="CelluleTableau"/>
        <w:spacing w:line="240" w:lineRule="auto"/>
        <w:ind w:left="0" w:right="0"/>
      </w:pPr>
      <w:r w:rsidRPr="002A406B">
        <w:t xml:space="preserve">L’ESRP EPNAK de Lyon a un impact significatif sur l’insertion professionnelle des personnes en situation de handicap. En adaptant les formations et les horaires de cours, et en offrant un soutien médico-psycho-social continu, l’établissement permet </w:t>
      </w:r>
      <w:r w:rsidRPr="002A406B">
        <w:lastRenderedPageBreak/>
        <w:t>à ses stagiaires de surmonter les défis liés à leur handicap et de réussir leur reconversion professionnelle.</w:t>
      </w:r>
    </w:p>
    <w:p w14:paraId="7DAA60F5" w14:textId="77777777" w:rsidR="00A21A9E" w:rsidRPr="002A406B" w:rsidRDefault="00A21A9E" w:rsidP="002A406B">
      <w:pPr>
        <w:pStyle w:val="CelluleTableau"/>
        <w:spacing w:line="240" w:lineRule="auto"/>
        <w:ind w:left="0" w:right="0"/>
      </w:pPr>
    </w:p>
    <w:p w14:paraId="0C569842" w14:textId="77777777" w:rsidR="00A21A9E" w:rsidRPr="002A406B" w:rsidRDefault="00A21A9E" w:rsidP="002A406B">
      <w:pPr>
        <w:pStyle w:val="CelluleTableau"/>
        <w:spacing w:line="240" w:lineRule="auto"/>
        <w:ind w:left="0" w:right="0"/>
      </w:pPr>
    </w:p>
    <w:p w14:paraId="59F32908" w14:textId="54DB10D3" w:rsidR="005368A0" w:rsidRPr="002A406B" w:rsidRDefault="005368A0" w:rsidP="002A406B">
      <w:pPr>
        <w:pStyle w:val="EnteteTableau"/>
        <w:numPr>
          <w:ilvl w:val="0"/>
          <w:numId w:val="0"/>
        </w:numPr>
        <w:spacing w:before="0" w:after="0"/>
        <w:ind w:right="0"/>
      </w:pPr>
      <w:r w:rsidRPr="002A406B">
        <w:t>Brève description</w:t>
      </w:r>
      <w:r w:rsidR="00A21A9E" w:rsidRPr="002A406B">
        <w:rPr>
          <w:rFonts w:ascii="Calibri" w:hAnsi="Calibri"/>
        </w:rPr>
        <w:t> </w:t>
      </w:r>
      <w:r w:rsidR="00A21A9E" w:rsidRPr="002A406B">
        <w:t>:</w:t>
      </w:r>
    </w:p>
    <w:p w14:paraId="3C7358C8" w14:textId="77777777" w:rsidR="002A406B" w:rsidRDefault="002A406B" w:rsidP="002A406B">
      <w:pPr>
        <w:pStyle w:val="CelluleTableau"/>
        <w:spacing w:line="240" w:lineRule="auto"/>
        <w:ind w:left="0" w:right="0"/>
      </w:pPr>
    </w:p>
    <w:p w14:paraId="607A047A" w14:textId="77777777" w:rsidR="005368A0" w:rsidRPr="002A406B" w:rsidRDefault="005368A0" w:rsidP="002A406B">
      <w:pPr>
        <w:pStyle w:val="CelluleTableau"/>
        <w:spacing w:line="240" w:lineRule="auto"/>
        <w:ind w:left="0" w:right="0"/>
      </w:pPr>
      <w:bookmarkStart w:id="0" w:name="_GoBack"/>
      <w:bookmarkEnd w:id="0"/>
      <w:r w:rsidRPr="002A406B">
        <w:t>La méthodologie et les pratiques de l’ESRP EPNAK de Lyon peuvent être reproduites dans d’autres contextes ou régions. Le modèle d’accompagnement personnalisé et la flexibilité des programmes sont des éléments facilement transférables qui peuvent être adaptés pour répondre aux besoins spécifiques d’autres établissements ou centres de réadaptation professionnelle.</w:t>
      </w:r>
    </w:p>
    <w:sectPr w:rsidR="005368A0" w:rsidRPr="002A406B" w:rsidSect="001C06E4">
      <w:headerReference w:type="default" r:id="rId9"/>
      <w:footerReference w:type="default" r:id="rId10"/>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FAC4E" w14:textId="77777777" w:rsidR="00280E9A" w:rsidRDefault="00280E9A" w:rsidP="008D2C54">
      <w:r>
        <w:separator/>
      </w:r>
    </w:p>
  </w:endnote>
  <w:endnote w:type="continuationSeparator" w:id="0">
    <w:p w14:paraId="5E74A81F" w14:textId="77777777" w:rsidR="00280E9A" w:rsidRDefault="00280E9A"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97266F6B-5C07-407B-BE53-3F963012B232}"/>
    <w:embedBold r:id="rId2" w:fontKey="{2F7AB574-A754-4334-A996-B32C0BB2C967}"/>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3" w:subsetted="1" w:fontKey="{75EFD2A1-E420-4B18-849E-985C46BC373D}"/>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43005224" w14:textId="77777777" w:rsidR="001C06E4" w:rsidRDefault="001C06E4">
        <w:pPr>
          <w:pStyle w:val="Pieddepage"/>
          <w:jc w:val="right"/>
        </w:pPr>
        <w:r>
          <w:fldChar w:fldCharType="begin"/>
        </w:r>
        <w:r>
          <w:instrText>PAGE   \* MERGEFORMAT</w:instrText>
        </w:r>
        <w:r>
          <w:fldChar w:fldCharType="separate"/>
        </w:r>
        <w:r w:rsidR="002A406B">
          <w:rPr>
            <w:noProof/>
          </w:rPr>
          <w:t>5</w:t>
        </w:r>
        <w:r>
          <w:fldChar w:fldCharType="end"/>
        </w:r>
      </w:p>
    </w:sdtContent>
  </w:sdt>
  <w:p w14:paraId="7E5BF954"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C112E" w14:textId="77777777" w:rsidR="00280E9A" w:rsidRDefault="00280E9A" w:rsidP="008D2C54">
      <w:r>
        <w:separator/>
      </w:r>
    </w:p>
  </w:footnote>
  <w:footnote w:type="continuationSeparator" w:id="0">
    <w:p w14:paraId="68D8FE08" w14:textId="77777777" w:rsidR="00280E9A" w:rsidRDefault="00280E9A"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A22D2" w14:textId="77777777" w:rsidR="008D2C54" w:rsidRDefault="00F8340D">
    <w:pPr>
      <w:pStyle w:val="En-tte"/>
    </w:pPr>
    <w:r>
      <w:rPr>
        <w:noProof/>
        <w:lang w:val="fr-BE" w:eastAsia="fr-BE"/>
      </w:rPr>
      <w:drawing>
        <wp:anchor distT="0" distB="0" distL="114300" distR="114300" simplePos="0" relativeHeight="251659264" behindDoc="0" locked="0" layoutInCell="1" allowOverlap="1" wp14:anchorId="64A695C1" wp14:editId="65CBFA95">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5D590E6D" wp14:editId="3C8B65CE">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p w14:paraId="4BD6A3A9" w14:textId="77777777" w:rsidR="008D2C54" w:rsidRDefault="008D2C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66F79"/>
    <w:multiLevelType w:val="hybridMultilevel"/>
    <w:tmpl w:val="860E29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157905"/>
    <w:multiLevelType w:val="hybridMultilevel"/>
    <w:tmpl w:val="537AF3A8"/>
    <w:lvl w:ilvl="0" w:tplc="6672A4B6">
      <w:numFmt w:val="bullet"/>
      <w:lvlText w:val="-"/>
      <w:lvlJc w:val="left"/>
      <w:pPr>
        <w:ind w:left="720" w:hanging="360"/>
      </w:pPr>
      <w:rPr>
        <w:rFonts w:ascii="Luciole" w:eastAsia="Times New Roman" w:hAnsi="Luciole"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3985815"/>
    <w:multiLevelType w:val="hybridMultilevel"/>
    <w:tmpl w:val="AD063BF8"/>
    <w:lvl w:ilvl="0" w:tplc="E9C4B3D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9C4338">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48065A">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20DB96">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40373C">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20C2AE">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FE5E0C">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0E7DD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505BAC">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1"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431215A"/>
    <w:multiLevelType w:val="hybridMultilevel"/>
    <w:tmpl w:val="523E8D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9D0965"/>
    <w:multiLevelType w:val="hybridMultilevel"/>
    <w:tmpl w:val="55AADF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2313A02"/>
    <w:multiLevelType w:val="hybridMultilevel"/>
    <w:tmpl w:val="59627952"/>
    <w:lvl w:ilvl="0" w:tplc="D16CBF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F6891E">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16CDCC">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A008B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B4BE62">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B81626">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C2B4CA">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E6A93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9EA71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37831EE"/>
    <w:multiLevelType w:val="hybridMultilevel"/>
    <w:tmpl w:val="613CB9CC"/>
    <w:lvl w:ilvl="0" w:tplc="AD2ACD74">
      <w:numFmt w:val="bullet"/>
      <w:lvlText w:val="-"/>
      <w:lvlJc w:val="left"/>
      <w:pPr>
        <w:ind w:left="720" w:hanging="360"/>
      </w:pPr>
      <w:rPr>
        <w:rFonts w:ascii="Luciole" w:eastAsia="Times New Roman" w:hAnsi="Luciole"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E7E2019"/>
    <w:multiLevelType w:val="hybridMultilevel"/>
    <w:tmpl w:val="38742D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5"/>
  </w:num>
  <w:num w:numId="2">
    <w:abstractNumId w:val="31"/>
  </w:num>
  <w:num w:numId="3">
    <w:abstractNumId w:val="14"/>
  </w:num>
  <w:num w:numId="4">
    <w:abstractNumId w:val="32"/>
  </w:num>
  <w:num w:numId="5">
    <w:abstractNumId w:val="4"/>
  </w:num>
  <w:num w:numId="6">
    <w:abstractNumId w:val="5"/>
  </w:num>
  <w:num w:numId="7">
    <w:abstractNumId w:val="25"/>
  </w:num>
  <w:num w:numId="8">
    <w:abstractNumId w:val="33"/>
  </w:num>
  <w:num w:numId="9">
    <w:abstractNumId w:val="9"/>
  </w:num>
  <w:num w:numId="10">
    <w:abstractNumId w:val="21"/>
  </w:num>
  <w:num w:numId="11">
    <w:abstractNumId w:val="23"/>
  </w:num>
  <w:num w:numId="12">
    <w:abstractNumId w:val="10"/>
  </w:num>
  <w:num w:numId="13">
    <w:abstractNumId w:val="3"/>
  </w:num>
  <w:num w:numId="14">
    <w:abstractNumId w:val="34"/>
  </w:num>
  <w:num w:numId="15">
    <w:abstractNumId w:val="13"/>
  </w:num>
  <w:num w:numId="16">
    <w:abstractNumId w:val="2"/>
  </w:num>
  <w:num w:numId="17">
    <w:abstractNumId w:val="19"/>
  </w:num>
  <w:num w:numId="18">
    <w:abstractNumId w:val="29"/>
  </w:num>
  <w:num w:numId="19">
    <w:abstractNumId w:val="11"/>
  </w:num>
  <w:num w:numId="20">
    <w:abstractNumId w:val="20"/>
  </w:num>
  <w:num w:numId="21">
    <w:abstractNumId w:val="8"/>
  </w:num>
  <w:num w:numId="22">
    <w:abstractNumId w:val="17"/>
  </w:num>
  <w:num w:numId="23">
    <w:abstractNumId w:val="22"/>
  </w:num>
  <w:num w:numId="24">
    <w:abstractNumId w:val="12"/>
  </w:num>
  <w:num w:numId="25">
    <w:abstractNumId w:val="18"/>
  </w:num>
  <w:num w:numId="26">
    <w:abstractNumId w:val="7"/>
  </w:num>
  <w:num w:numId="27">
    <w:abstractNumId w:val="16"/>
  </w:num>
  <w:num w:numId="28">
    <w:abstractNumId w:val="27"/>
  </w:num>
  <w:num w:numId="29">
    <w:abstractNumId w:val="6"/>
  </w:num>
  <w:num w:numId="30">
    <w:abstractNumId w:val="30"/>
  </w:num>
  <w:num w:numId="31">
    <w:abstractNumId w:val="28"/>
  </w:num>
  <w:num w:numId="32">
    <w:abstractNumId w:val="26"/>
  </w:num>
  <w:num w:numId="33">
    <w:abstractNumId w:val="24"/>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A0"/>
    <w:rsid w:val="00125850"/>
    <w:rsid w:val="001C06E4"/>
    <w:rsid w:val="002052FF"/>
    <w:rsid w:val="00280E9A"/>
    <w:rsid w:val="00295C02"/>
    <w:rsid w:val="002A406B"/>
    <w:rsid w:val="002E1F33"/>
    <w:rsid w:val="002F109E"/>
    <w:rsid w:val="003058F9"/>
    <w:rsid w:val="00344B35"/>
    <w:rsid w:val="00357120"/>
    <w:rsid w:val="003748C3"/>
    <w:rsid w:val="003C5E8C"/>
    <w:rsid w:val="003E67EF"/>
    <w:rsid w:val="00435290"/>
    <w:rsid w:val="0043677B"/>
    <w:rsid w:val="0049728F"/>
    <w:rsid w:val="004B742E"/>
    <w:rsid w:val="004C45B6"/>
    <w:rsid w:val="004F69D1"/>
    <w:rsid w:val="00521BCD"/>
    <w:rsid w:val="005232EE"/>
    <w:rsid w:val="00533A90"/>
    <w:rsid w:val="005368A0"/>
    <w:rsid w:val="005B47C7"/>
    <w:rsid w:val="006C2583"/>
    <w:rsid w:val="006C5B7A"/>
    <w:rsid w:val="006D53CC"/>
    <w:rsid w:val="00714AE0"/>
    <w:rsid w:val="00777167"/>
    <w:rsid w:val="007A1FBB"/>
    <w:rsid w:val="007D6C46"/>
    <w:rsid w:val="008640C8"/>
    <w:rsid w:val="008657EB"/>
    <w:rsid w:val="00875269"/>
    <w:rsid w:val="008B2213"/>
    <w:rsid w:val="008D2C54"/>
    <w:rsid w:val="008D7634"/>
    <w:rsid w:val="00967BB0"/>
    <w:rsid w:val="009E18D8"/>
    <w:rsid w:val="00A21A9E"/>
    <w:rsid w:val="00A26B77"/>
    <w:rsid w:val="00A768BD"/>
    <w:rsid w:val="00AE07A3"/>
    <w:rsid w:val="00AF5BF2"/>
    <w:rsid w:val="00B0633D"/>
    <w:rsid w:val="00B93ED7"/>
    <w:rsid w:val="00B97622"/>
    <w:rsid w:val="00C13CAA"/>
    <w:rsid w:val="00C72994"/>
    <w:rsid w:val="00C976F9"/>
    <w:rsid w:val="00CE61A7"/>
    <w:rsid w:val="00CE6F36"/>
    <w:rsid w:val="00D3319D"/>
    <w:rsid w:val="00D41596"/>
    <w:rsid w:val="00D82191"/>
    <w:rsid w:val="00D93F3C"/>
    <w:rsid w:val="00E936A3"/>
    <w:rsid w:val="00EB7752"/>
    <w:rsid w:val="00ED1093"/>
    <w:rsid w:val="00ED3DDF"/>
    <w:rsid w:val="00F07106"/>
    <w:rsid w:val="00F430B8"/>
    <w:rsid w:val="00F47743"/>
    <w:rsid w:val="00F75FD6"/>
    <w:rsid w:val="00F8029D"/>
    <w:rsid w:val="00F8340D"/>
    <w:rsid w:val="00FB0E3D"/>
    <w:rsid w:val="00FC50B5"/>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47294"/>
  <w15:chartTrackingRefBased/>
  <w15:docId w15:val="{0BA764A3-BAB5-422F-9C22-727571DB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8A0"/>
    <w:pPr>
      <w:spacing w:after="0" w:line="256" w:lineRule="auto"/>
      <w:ind w:left="10" w:right="14" w:hanging="10"/>
    </w:pPr>
    <w:rPr>
      <w:rFonts w:ascii="Luciole" w:eastAsia="Calibri" w:hAnsi="Luciole" w:cs="Calibri"/>
      <w:color w:val="000000"/>
      <w:kern w:val="2"/>
      <w:sz w:val="24"/>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eastAsiaTheme="majorEastAsia" w:cstheme="majorBidi"/>
      <w:b/>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eastAsiaTheme="majorEastAsia" w:cstheme="majorBidi"/>
      <w:b/>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b/>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eastAsiaTheme="majorEastAsia" w:cstheme="majorBidi"/>
      <w:b/>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5368A0"/>
    <w:pPr>
      <w:spacing w:line="259" w:lineRule="auto"/>
      <w:ind w:left="708" w:right="709" w:firstLine="0"/>
    </w:pPr>
    <w:rPr>
      <w:rFonts w:eastAsia="Times New Roman" w:cs="Times New Roman"/>
    </w:rPr>
  </w:style>
  <w:style w:type="character" w:customStyle="1" w:styleId="CelluleTableauCar">
    <w:name w:val="Cellule_Tableau Car"/>
    <w:basedOn w:val="Policepardfaut"/>
    <w:link w:val="CelluleTableau"/>
    <w:rsid w:val="005368A0"/>
    <w:rPr>
      <w:rFonts w:ascii="Luciole" w:eastAsia="Times New Roman" w:hAnsi="Luciole"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ation.epnak.org/ly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in\Documents\0%20-%200%20-%20Asso%20DysAccess\e-handi%20tour%202024\Bonnes%20pratiques%20France\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1A33B-30B4-45DD-AF47-2EC135AB5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14</TotalTime>
  <Pages>5</Pages>
  <Words>761</Words>
  <Characters>4187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3</cp:revision>
  <cp:lastPrinted>2024-12-23T11:09:00Z</cp:lastPrinted>
  <dcterms:created xsi:type="dcterms:W3CDTF">2024-12-27T17:31:00Z</dcterms:created>
  <dcterms:modified xsi:type="dcterms:W3CDTF">2024-12-30T19:15:00Z</dcterms:modified>
</cp:coreProperties>
</file>