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3580" w14:textId="77777777" w:rsidR="00B15F4A" w:rsidRPr="00D17B39" w:rsidRDefault="00B15F4A" w:rsidP="00E6176F">
      <w:pPr>
        <w:pStyle w:val="TitreDocument"/>
        <w:spacing w:before="0" w:after="0" w:line="240" w:lineRule="auto"/>
        <w:rPr>
          <w:sz w:val="24"/>
          <w:szCs w:val="24"/>
        </w:rPr>
      </w:pPr>
      <w:r w:rsidRPr="00D17B39">
        <w:rPr>
          <w:sz w:val="24"/>
          <w:szCs w:val="24"/>
        </w:rPr>
        <w:t>E-HANDI TOUR GUIDE DE L’INCLUSION INNOVANTE DES PSDH</w:t>
      </w:r>
    </w:p>
    <w:p w14:paraId="7839279D" w14:textId="77777777" w:rsidR="001765F7" w:rsidRPr="00D17B39" w:rsidRDefault="001765F7" w:rsidP="001765F7">
      <w:pPr>
        <w:pStyle w:val="TitreDocument"/>
        <w:spacing w:before="0" w:after="0" w:line="240" w:lineRule="auto"/>
        <w:jc w:val="left"/>
        <w:rPr>
          <w:sz w:val="24"/>
          <w:szCs w:val="24"/>
        </w:rPr>
      </w:pPr>
    </w:p>
    <w:p w14:paraId="43B1ACB1" w14:textId="77777777" w:rsidR="001765F7" w:rsidRPr="00D17B39" w:rsidRDefault="001765F7" w:rsidP="001765F7">
      <w:pPr>
        <w:pStyle w:val="TitreDocument"/>
        <w:spacing w:before="0" w:after="0" w:line="240" w:lineRule="auto"/>
        <w:jc w:val="left"/>
        <w:rPr>
          <w:sz w:val="24"/>
          <w:szCs w:val="24"/>
        </w:rPr>
      </w:pPr>
    </w:p>
    <w:p w14:paraId="5AEA5264" w14:textId="496D2442" w:rsidR="00B15F4A" w:rsidRPr="00D17B39" w:rsidRDefault="00B15F4A" w:rsidP="001765F7">
      <w:pPr>
        <w:pStyle w:val="Titre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17B39">
        <w:rPr>
          <w:sz w:val="24"/>
          <w:szCs w:val="24"/>
        </w:rPr>
        <w:t>CobraZero</w:t>
      </w:r>
      <w:r w:rsidR="009D3B42" w:rsidRPr="00D17B39">
        <w:rPr>
          <w:rFonts w:ascii="Calibri" w:hAnsi="Calibri" w:cs="Calibri"/>
          <w:sz w:val="24"/>
          <w:szCs w:val="24"/>
        </w:rPr>
        <w:t> </w:t>
      </w:r>
      <w:r w:rsidR="009D3B42" w:rsidRPr="00D17B39">
        <w:rPr>
          <w:sz w:val="24"/>
          <w:szCs w:val="24"/>
        </w:rPr>
        <w:t>:</w:t>
      </w:r>
    </w:p>
    <w:p w14:paraId="123AE97B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6A67BA04" w14:textId="6829B773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Promoteur de l'initiative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791BCBBA" w14:textId="77777777" w:rsidR="001765F7" w:rsidRPr="00D17B39" w:rsidRDefault="001765F7" w:rsidP="001765F7">
      <w:pPr>
        <w:spacing w:after="0" w:line="240" w:lineRule="auto"/>
        <w:rPr>
          <w:rFonts w:ascii="Luciole" w:hAnsi="Luciole"/>
          <w:sz w:val="24"/>
        </w:rPr>
      </w:pPr>
    </w:p>
    <w:p w14:paraId="285816AD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r w:rsidRPr="00D17B39">
        <w:rPr>
          <w:rFonts w:ascii="Luciole" w:hAnsi="Luciole"/>
          <w:sz w:val="24"/>
        </w:rPr>
        <w:t>DOWiNO en collaboration avec L’ADAPT</w:t>
      </w:r>
    </w:p>
    <w:p w14:paraId="3A6399AE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1A0B6C79" w14:textId="77777777" w:rsidR="001765F7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Pays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 xml:space="preserve">: </w:t>
      </w:r>
    </w:p>
    <w:p w14:paraId="015D2193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589E0A65" w14:textId="434D23A4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France</w:t>
      </w:r>
    </w:p>
    <w:p w14:paraId="6CDDB374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103A6C0B" w14:textId="77777777" w:rsidR="001765F7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Site internet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 xml:space="preserve">: </w:t>
      </w:r>
    </w:p>
    <w:p w14:paraId="07C3AAFD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52F4FB89" w14:textId="2C4FAD9A" w:rsidR="00B15F4A" w:rsidRPr="00D17B39" w:rsidRDefault="00B0019F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hyperlink r:id="rId8" w:tooltip="Le site de Cobra Zero" w:history="1">
        <w:r w:rsidR="00B15F4A" w:rsidRPr="00D17B39">
          <w:rPr>
            <w:rStyle w:val="Lienhypertexte"/>
            <w:sz w:val="24"/>
          </w:rPr>
          <w:t>https://www.dowino.com/cobrazero</w:t>
        </w:r>
      </w:hyperlink>
    </w:p>
    <w:p w14:paraId="78836EAB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65399041" w14:textId="77777777" w:rsidR="001765F7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Contact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 xml:space="preserve">: </w:t>
      </w:r>
    </w:p>
    <w:p w14:paraId="36B219A4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196DA8B8" w14:textId="429B91D6" w:rsidR="001765F7" w:rsidRPr="00D17B39" w:rsidRDefault="00B0019F" w:rsidP="00E6176F">
      <w:pPr>
        <w:pStyle w:val="EnteteTableau"/>
        <w:numPr>
          <w:ilvl w:val="0"/>
          <w:numId w:val="0"/>
        </w:numPr>
        <w:spacing w:before="0" w:line="240" w:lineRule="auto"/>
        <w:rPr>
          <w:rStyle w:val="Lienhypertexte"/>
          <w:sz w:val="24"/>
        </w:rPr>
      </w:pPr>
      <w:hyperlink r:id="rId9" w:tooltip="Contact mail de Dowino" w:history="1">
        <w:r w:rsidR="00B15F4A" w:rsidRPr="00D17B39">
          <w:rPr>
            <w:rStyle w:val="Lienhypertexte"/>
            <w:sz w:val="24"/>
          </w:rPr>
          <w:t>https://www.dowino.com/contact</w:t>
        </w:r>
      </w:hyperlink>
    </w:p>
    <w:p w14:paraId="6536A4F1" w14:textId="77777777" w:rsidR="00E6176F" w:rsidRPr="00D17B39" w:rsidRDefault="00E6176F" w:rsidP="00E6176F">
      <w:pPr>
        <w:pStyle w:val="EnteteTableau"/>
        <w:numPr>
          <w:ilvl w:val="0"/>
          <w:numId w:val="0"/>
        </w:numPr>
        <w:spacing w:before="0" w:line="240" w:lineRule="auto"/>
        <w:rPr>
          <w:rStyle w:val="Lienhypertexte"/>
          <w:sz w:val="24"/>
        </w:rPr>
      </w:pPr>
    </w:p>
    <w:p w14:paraId="7C62A875" w14:textId="77777777" w:rsidR="00E6176F" w:rsidRPr="00D17B39" w:rsidRDefault="00E6176F" w:rsidP="00E6176F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017F77B9" w14:textId="27EECDF1" w:rsidR="00B15F4A" w:rsidRPr="00D17B39" w:rsidRDefault="00B15F4A" w:rsidP="001765F7">
      <w:pPr>
        <w:pStyle w:val="Titre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17B39">
        <w:rPr>
          <w:sz w:val="24"/>
          <w:szCs w:val="24"/>
        </w:rPr>
        <w:t>DETAIL DE L’INITIATIVE :</w:t>
      </w:r>
    </w:p>
    <w:p w14:paraId="1EEE6AF2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3B89800F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767889A8" w14:textId="2D7503AF" w:rsidR="006955FF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Année(s) de mise en œuvre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2502977E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3DD45C86" w14:textId="16B2909F" w:rsidR="00B15F4A" w:rsidRPr="00D17B39" w:rsidRDefault="006955FF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R</w:t>
      </w:r>
      <w:r w:rsidR="00B15F4A" w:rsidRPr="00D17B39">
        <w:rPr>
          <w:rFonts w:ascii="Luciole" w:eastAsia="Times New Roman" w:hAnsi="Luciole" w:cs="Times New Roman"/>
          <w:sz w:val="24"/>
        </w:rPr>
        <w:t>écent</w:t>
      </w:r>
      <w:r w:rsidR="009D3B42" w:rsidRPr="00D17B39">
        <w:rPr>
          <w:rFonts w:ascii="Luciole" w:eastAsia="Times New Roman" w:hAnsi="Luciole" w:cs="Times New Roman"/>
          <w:sz w:val="24"/>
        </w:rPr>
        <w:t>.</w:t>
      </w:r>
    </w:p>
    <w:p w14:paraId="7D1B2DA2" w14:textId="77777777" w:rsidR="009D3B42" w:rsidRPr="00D17B39" w:rsidRDefault="009D3B42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6F7A80A8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16EE65F3" w14:textId="7C0A3842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Groupe(s) cible(s)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49A69C99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52C9CE3A" w14:textId="2F1D2BFF" w:rsidR="00B15F4A" w:rsidRPr="00D17B39" w:rsidRDefault="00B15F4A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Salariés d'entreprises, notamment les responsables des ressources humaines et les managers</w:t>
      </w:r>
      <w:r w:rsidR="009D3B42" w:rsidRPr="00D17B39">
        <w:rPr>
          <w:rFonts w:ascii="Luciole" w:eastAsia="Times New Roman" w:hAnsi="Luciole" w:cs="Times New Roman"/>
          <w:sz w:val="24"/>
        </w:rPr>
        <w:t>.</w:t>
      </w:r>
    </w:p>
    <w:p w14:paraId="00901699" w14:textId="77777777" w:rsidR="009D3B42" w:rsidRPr="00D17B39" w:rsidRDefault="009D3B42" w:rsidP="001765F7">
      <w:pPr>
        <w:spacing w:after="0" w:line="240" w:lineRule="auto"/>
        <w:rPr>
          <w:rFonts w:ascii="Luciole" w:hAnsi="Luciole"/>
          <w:sz w:val="24"/>
        </w:rPr>
      </w:pPr>
    </w:p>
    <w:p w14:paraId="17D28542" w14:textId="77777777" w:rsidR="001765F7" w:rsidRPr="00D17B39" w:rsidRDefault="001765F7" w:rsidP="001765F7">
      <w:pPr>
        <w:spacing w:after="0" w:line="240" w:lineRule="auto"/>
        <w:rPr>
          <w:rFonts w:ascii="Luciole" w:hAnsi="Luciole"/>
          <w:sz w:val="24"/>
        </w:rPr>
      </w:pPr>
    </w:p>
    <w:p w14:paraId="22F974B1" w14:textId="2A224A7B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Description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2C9D4EB2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56FE7A2C" w14:textId="77777777" w:rsidR="00B15F4A" w:rsidRPr="00D17B39" w:rsidRDefault="00B15F4A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CobraZero est un serious game digital conçu pour sensibiliser sur le handicap invisible et la Reconnaissance de la Qualité de Travailleur Handicapé (RQTH) à travers une simulation interactive où les joueurs incarnent différents agents d’une équipe spéciale.</w:t>
      </w:r>
    </w:p>
    <w:p w14:paraId="32BF8AC1" w14:textId="77777777" w:rsidR="009D3B42" w:rsidRPr="00D17B39" w:rsidRDefault="009D3B42" w:rsidP="001765F7">
      <w:pPr>
        <w:spacing w:after="0" w:line="240" w:lineRule="auto"/>
        <w:rPr>
          <w:rFonts w:ascii="Luciole" w:hAnsi="Luciole"/>
          <w:sz w:val="24"/>
        </w:rPr>
      </w:pPr>
    </w:p>
    <w:p w14:paraId="29E0CC05" w14:textId="77777777" w:rsidR="001765F7" w:rsidRPr="00D17B39" w:rsidRDefault="001765F7" w:rsidP="001765F7">
      <w:pPr>
        <w:spacing w:after="0" w:line="240" w:lineRule="auto"/>
        <w:rPr>
          <w:rFonts w:ascii="Luciole" w:hAnsi="Luciole"/>
          <w:sz w:val="24"/>
        </w:rPr>
      </w:pPr>
    </w:p>
    <w:p w14:paraId="7BA1DBF2" w14:textId="615D75C8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Méthodologie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2FFFAEFD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0B7FDDAF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Jeu numérique joué à travers une interface web, accessible via URL. Les joueurs prennent des décisions qui influencent le déroulement de l'histoire, apprenant sur les handicaps invisibles et la RQTH à travers des scénarios réalistes et des choix multiples.</w:t>
      </w:r>
    </w:p>
    <w:p w14:paraId="7EE8EB36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43684556" w14:textId="49E7B251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Contact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48946583" w14:textId="77777777" w:rsidR="001765F7" w:rsidRPr="00D17B39" w:rsidRDefault="001765F7" w:rsidP="001765F7">
      <w:pPr>
        <w:spacing w:after="0" w:line="240" w:lineRule="auto"/>
        <w:rPr>
          <w:rStyle w:val="Lienhypertexte"/>
          <w:rFonts w:ascii="Luciole" w:eastAsia="Times New Roman" w:hAnsi="Luciole" w:cs="Times New Roman"/>
          <w:sz w:val="24"/>
        </w:rPr>
      </w:pPr>
    </w:p>
    <w:p w14:paraId="1238C804" w14:textId="19FD6EC6" w:rsidR="00B15F4A" w:rsidRPr="00D17B39" w:rsidRDefault="00B0019F" w:rsidP="001765F7">
      <w:pPr>
        <w:spacing w:after="0" w:line="240" w:lineRule="auto"/>
        <w:rPr>
          <w:rFonts w:ascii="Luciole" w:hAnsi="Luciole"/>
          <w:sz w:val="24"/>
        </w:rPr>
      </w:pPr>
      <w:hyperlink r:id="rId10" w:tooltip="Support CobraZero" w:history="1">
        <w:r w:rsidR="00B15F4A" w:rsidRPr="00D17B39">
          <w:rPr>
            <w:rStyle w:val="Lienhypertexte"/>
            <w:rFonts w:ascii="Luciole" w:eastAsia="Times New Roman" w:hAnsi="Luciole" w:cs="Times New Roman"/>
            <w:sz w:val="24"/>
          </w:rPr>
          <w:t>https://www.dowino.com/support</w:t>
        </w:r>
      </w:hyperlink>
    </w:p>
    <w:p w14:paraId="503280D3" w14:textId="77777777" w:rsidR="00C253B4" w:rsidRPr="00D17B39" w:rsidRDefault="00C253B4" w:rsidP="001765F7">
      <w:pPr>
        <w:spacing w:after="0" w:line="240" w:lineRule="auto"/>
        <w:rPr>
          <w:rFonts w:ascii="Luciole" w:eastAsia="Times New Roman" w:hAnsi="Luciole" w:cs="Times New Roman"/>
          <w:b/>
          <w:color w:val="FFFFFF"/>
          <w:sz w:val="24"/>
        </w:rPr>
      </w:pPr>
    </w:p>
    <w:p w14:paraId="5AF75B38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r w:rsidRPr="00D17B39">
        <w:rPr>
          <w:rFonts w:ascii="Luciole" w:eastAsia="Times New Roman" w:hAnsi="Luciole" w:cs="Times New Roman"/>
          <w:b/>
          <w:color w:val="FFFFFF"/>
          <w:sz w:val="24"/>
        </w:rPr>
        <w:t>DOMAINE :</w:t>
      </w:r>
    </w:p>
    <w:p w14:paraId="5E734996" w14:textId="0B47564D" w:rsidR="00B15F4A" w:rsidRPr="00D17B39" w:rsidRDefault="00EC070B" w:rsidP="001765F7">
      <w:pPr>
        <w:pStyle w:val="Titre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17B39">
        <w:rPr>
          <w:sz w:val="24"/>
          <w:szCs w:val="24"/>
        </w:rPr>
        <w:t>DOMAINE</w:t>
      </w:r>
      <w:r w:rsidR="009D3B42" w:rsidRPr="00D17B39">
        <w:rPr>
          <w:rFonts w:ascii="Calibri" w:hAnsi="Calibri" w:cs="Calibri"/>
          <w:sz w:val="24"/>
          <w:szCs w:val="24"/>
        </w:rPr>
        <w:t> </w:t>
      </w:r>
      <w:r w:rsidR="009D3B42" w:rsidRPr="00D17B39">
        <w:rPr>
          <w:sz w:val="24"/>
          <w:szCs w:val="24"/>
        </w:rPr>
        <w:t>:</w:t>
      </w:r>
    </w:p>
    <w:p w14:paraId="1575858C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5890F67E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07DADBF5" w14:textId="33E166CF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Facilitation de l'accès à l'emploi</w:t>
      </w:r>
      <w:r w:rsidR="008B4129" w:rsidRPr="00D17B39">
        <w:rPr>
          <w:rFonts w:ascii="Calibri" w:hAnsi="Calibri"/>
          <w:sz w:val="24"/>
        </w:rPr>
        <w:t> </w:t>
      </w:r>
      <w:r w:rsidR="008B4129" w:rsidRPr="00D17B39">
        <w:rPr>
          <w:sz w:val="24"/>
        </w:rPr>
        <w:t>:</w:t>
      </w:r>
    </w:p>
    <w:p w14:paraId="4C4D272D" w14:textId="77777777" w:rsidR="001765F7" w:rsidRPr="00D17B39" w:rsidRDefault="001765F7" w:rsidP="001765F7">
      <w:pPr>
        <w:pStyle w:val="Cellule"/>
        <w:spacing w:line="240" w:lineRule="auto"/>
        <w:ind w:left="0"/>
        <w:jc w:val="left"/>
      </w:pPr>
    </w:p>
    <w:p w14:paraId="7234FF06" w14:textId="77777777" w:rsidR="00B15F4A" w:rsidRPr="00D17B39" w:rsidRDefault="00B15F4A" w:rsidP="001765F7">
      <w:pPr>
        <w:pStyle w:val="Cellule"/>
        <w:spacing w:line="240" w:lineRule="auto"/>
        <w:ind w:left="0"/>
        <w:jc w:val="left"/>
      </w:pPr>
      <w:r w:rsidRPr="00D17B39">
        <w:t>Sensibilise et éduque les employeurs sur les handicaps invisibles pour améliorer l'intégration des personnes handicapées au travail.</w:t>
      </w:r>
    </w:p>
    <w:p w14:paraId="3CFF2CC1" w14:textId="77777777" w:rsidR="009D3B42" w:rsidRPr="00D17B39" w:rsidRDefault="009D3B42" w:rsidP="001765F7">
      <w:pPr>
        <w:pStyle w:val="Cellule"/>
        <w:spacing w:line="240" w:lineRule="auto"/>
        <w:ind w:left="0"/>
        <w:jc w:val="left"/>
      </w:pPr>
    </w:p>
    <w:p w14:paraId="76286BC8" w14:textId="7158EF4D" w:rsidR="00D17B39" w:rsidRDefault="00D17B39">
      <w:pPr>
        <w:rPr>
          <w:rFonts w:ascii="Luciole" w:hAnsi="Luciole"/>
          <w:sz w:val="24"/>
        </w:rPr>
      </w:pPr>
      <w:r>
        <w:rPr>
          <w:rFonts w:ascii="Luciole" w:hAnsi="Luciole"/>
          <w:sz w:val="24"/>
        </w:rPr>
        <w:br w:type="page"/>
      </w:r>
    </w:p>
    <w:p w14:paraId="07BBD95C" w14:textId="3DC801F0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lastRenderedPageBreak/>
        <w:t>Renforcement des compétences transversales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46E4B64D" w14:textId="77777777" w:rsidR="001765F7" w:rsidRPr="00D17B39" w:rsidRDefault="001765F7" w:rsidP="001765F7">
      <w:pPr>
        <w:pStyle w:val="Cellule"/>
        <w:spacing w:line="240" w:lineRule="auto"/>
        <w:ind w:left="0"/>
        <w:jc w:val="left"/>
      </w:pPr>
    </w:p>
    <w:p w14:paraId="4C8E6215" w14:textId="77777777" w:rsidR="00B15F4A" w:rsidRPr="00D17B39" w:rsidRDefault="00B15F4A" w:rsidP="001765F7">
      <w:pPr>
        <w:pStyle w:val="Cellule"/>
        <w:spacing w:line="240" w:lineRule="auto"/>
        <w:ind w:left="0"/>
        <w:jc w:val="left"/>
      </w:pPr>
      <w:r w:rsidRPr="00D17B39">
        <w:t>Développe la compréhension et les compétences en communication sur les sujets sensibles liés au handicap.</w:t>
      </w:r>
    </w:p>
    <w:p w14:paraId="6ED2464A" w14:textId="77777777" w:rsidR="009D3B42" w:rsidRPr="00D17B39" w:rsidRDefault="009D3B42" w:rsidP="001765F7">
      <w:pPr>
        <w:pStyle w:val="Cellule"/>
        <w:spacing w:line="240" w:lineRule="auto"/>
        <w:ind w:left="0"/>
        <w:jc w:val="left"/>
      </w:pPr>
    </w:p>
    <w:p w14:paraId="5D0D185E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</w:p>
    <w:p w14:paraId="280D00D8" w14:textId="7C5E4439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Amélioration des compétences numériques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5A6CA8A9" w14:textId="77777777" w:rsidR="001765F7" w:rsidRPr="00D17B39" w:rsidRDefault="001765F7" w:rsidP="001765F7">
      <w:pPr>
        <w:pStyle w:val="Cellule"/>
        <w:spacing w:line="240" w:lineRule="auto"/>
        <w:ind w:left="0"/>
        <w:jc w:val="left"/>
      </w:pPr>
    </w:p>
    <w:p w14:paraId="15E630E5" w14:textId="77777777" w:rsidR="00B15F4A" w:rsidRPr="00D17B39" w:rsidRDefault="00B15F4A" w:rsidP="001765F7">
      <w:pPr>
        <w:pStyle w:val="Cellule"/>
        <w:spacing w:line="240" w:lineRule="auto"/>
        <w:ind w:left="0"/>
        <w:jc w:val="left"/>
      </w:pPr>
      <w:r w:rsidRPr="00D17B39">
        <w:t>Implique l'utilisation des technologies numériques modernes pour l'apprentissage et la sensibilisation.</w:t>
      </w:r>
    </w:p>
    <w:p w14:paraId="3AEE6D2D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</w:p>
    <w:p w14:paraId="158F456C" w14:textId="77777777" w:rsidR="001765F7" w:rsidRPr="00D17B39" w:rsidRDefault="001765F7" w:rsidP="001765F7">
      <w:pPr>
        <w:spacing w:after="0" w:line="240" w:lineRule="auto"/>
        <w:rPr>
          <w:rFonts w:ascii="Luciole" w:hAnsi="Luciole"/>
          <w:sz w:val="24"/>
        </w:rPr>
      </w:pPr>
    </w:p>
    <w:p w14:paraId="67DF22B9" w14:textId="1D157539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Formation spécialisée pour les éducateurs et professionnels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3466F489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76440911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Peut être utilisé comme outil de formation pour le personnel RH et les formateurs dans les entreprises pour aborder efficacement les problématiques liées au handicap invisible.</w:t>
      </w:r>
    </w:p>
    <w:p w14:paraId="2B1CC6AA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</w:p>
    <w:p w14:paraId="3DB4A606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r w:rsidRPr="00D17B39">
        <w:rPr>
          <w:rFonts w:ascii="Luciole" w:hAnsi="Luciole"/>
          <w:b/>
          <w:color w:val="FFFFFF"/>
          <w:sz w:val="24"/>
        </w:rPr>
        <w:t>PRODUITS / RÉSULTATS :</w:t>
      </w:r>
    </w:p>
    <w:p w14:paraId="565219B5" w14:textId="36B1B108" w:rsidR="00B15F4A" w:rsidRPr="00D17B39" w:rsidRDefault="00EC070B" w:rsidP="001765F7">
      <w:pPr>
        <w:pStyle w:val="Titre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17B39">
        <w:rPr>
          <w:sz w:val="24"/>
          <w:szCs w:val="24"/>
        </w:rPr>
        <w:t>PRODUITS / RÉSULTATS :</w:t>
      </w:r>
    </w:p>
    <w:p w14:paraId="1C67D192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55DFA062" w14:textId="77777777" w:rsidR="001765F7" w:rsidRPr="00D17B39" w:rsidRDefault="001765F7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</w:p>
    <w:p w14:paraId="26B11351" w14:textId="39CCFC69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Type de produit</w:t>
      </w:r>
      <w:r w:rsidR="008B4129" w:rsidRPr="00D17B39">
        <w:rPr>
          <w:rFonts w:ascii="Calibri" w:hAnsi="Calibri"/>
          <w:sz w:val="24"/>
        </w:rPr>
        <w:t> </w:t>
      </w:r>
      <w:r w:rsidR="008B4129" w:rsidRPr="00D17B39">
        <w:rPr>
          <w:sz w:val="24"/>
        </w:rPr>
        <w:t>:</w:t>
      </w:r>
    </w:p>
    <w:p w14:paraId="7F18C157" w14:textId="77777777" w:rsidR="001765F7" w:rsidRPr="00D17B39" w:rsidRDefault="001765F7" w:rsidP="001765F7">
      <w:pPr>
        <w:pStyle w:val="Cellule"/>
        <w:spacing w:line="240" w:lineRule="auto"/>
        <w:ind w:left="0"/>
        <w:jc w:val="left"/>
      </w:pPr>
    </w:p>
    <w:p w14:paraId="723EC6BE" w14:textId="31AE598B" w:rsidR="00B15F4A" w:rsidRPr="00D17B39" w:rsidRDefault="00B15F4A" w:rsidP="001765F7">
      <w:pPr>
        <w:pStyle w:val="Cellule"/>
        <w:spacing w:line="240" w:lineRule="auto"/>
        <w:ind w:left="0"/>
        <w:jc w:val="left"/>
      </w:pPr>
      <w:r w:rsidRPr="00D17B39">
        <w:t>Logiciel, ressource en ligne</w:t>
      </w:r>
      <w:r w:rsidR="009D3B42" w:rsidRPr="00D17B39">
        <w:t>.</w:t>
      </w:r>
    </w:p>
    <w:p w14:paraId="28AA8B4A" w14:textId="77777777" w:rsidR="009D3B42" w:rsidRPr="00D17B39" w:rsidRDefault="009D3B42" w:rsidP="001765F7">
      <w:pPr>
        <w:pStyle w:val="Cellule"/>
        <w:spacing w:line="240" w:lineRule="auto"/>
        <w:ind w:left="0"/>
        <w:jc w:val="left"/>
      </w:pPr>
    </w:p>
    <w:p w14:paraId="08AE042A" w14:textId="77777777" w:rsidR="009D3B42" w:rsidRPr="00D17B39" w:rsidRDefault="009D3B42" w:rsidP="001765F7">
      <w:pPr>
        <w:pStyle w:val="Cellule"/>
        <w:spacing w:line="240" w:lineRule="auto"/>
        <w:ind w:left="0"/>
        <w:jc w:val="left"/>
      </w:pPr>
    </w:p>
    <w:p w14:paraId="6D5B4954" w14:textId="6ED8D068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Brève description</w:t>
      </w:r>
      <w:r w:rsidR="008B4129" w:rsidRPr="00D17B39">
        <w:rPr>
          <w:rFonts w:ascii="Calibri" w:hAnsi="Calibri"/>
          <w:sz w:val="24"/>
        </w:rPr>
        <w:t> </w:t>
      </w:r>
      <w:r w:rsidR="008B4129" w:rsidRPr="00D17B39">
        <w:rPr>
          <w:sz w:val="24"/>
        </w:rPr>
        <w:t>:</w:t>
      </w:r>
    </w:p>
    <w:p w14:paraId="73BE1C77" w14:textId="77777777" w:rsidR="001765F7" w:rsidRPr="00D17B39" w:rsidRDefault="001765F7" w:rsidP="001765F7">
      <w:pPr>
        <w:pStyle w:val="Cellule"/>
        <w:spacing w:line="240" w:lineRule="auto"/>
        <w:ind w:left="0"/>
        <w:jc w:val="left"/>
      </w:pPr>
    </w:p>
    <w:p w14:paraId="62190157" w14:textId="77777777" w:rsidR="00B15F4A" w:rsidRPr="00D17B39" w:rsidRDefault="00B15F4A" w:rsidP="001765F7">
      <w:pPr>
        <w:pStyle w:val="Cellule"/>
        <w:spacing w:line="240" w:lineRule="auto"/>
        <w:ind w:left="0"/>
        <w:jc w:val="left"/>
      </w:pPr>
      <w:r w:rsidRPr="00D17B39">
        <w:t>CobraZero offre une expérience interactive qui permet aux joueurs de comprendre les défis liés au handicap invisible et encourage l'application de la RQTH dans les milieux professionnels.</w:t>
      </w:r>
    </w:p>
    <w:p w14:paraId="5F56F6CB" w14:textId="77777777" w:rsidR="001765F7" w:rsidRPr="00D17B39" w:rsidRDefault="00B15F4A" w:rsidP="001765F7">
      <w:pPr>
        <w:spacing w:after="0" w:line="240" w:lineRule="auto"/>
        <w:rPr>
          <w:rFonts w:ascii="Luciole" w:hAnsi="Luciole"/>
          <w:b/>
          <w:color w:val="FFFFFF"/>
          <w:sz w:val="24"/>
        </w:rPr>
      </w:pPr>
      <w:r w:rsidRPr="00D17B39">
        <w:rPr>
          <w:rFonts w:ascii="Luciole" w:hAnsi="Luciole"/>
          <w:b/>
          <w:color w:val="FFFFFF"/>
          <w:sz w:val="24"/>
        </w:rPr>
        <w:t>I</w:t>
      </w:r>
    </w:p>
    <w:p w14:paraId="0C52674B" w14:textId="77777777" w:rsidR="001765F7" w:rsidRPr="00D17B39" w:rsidRDefault="00B15F4A" w:rsidP="001765F7">
      <w:pPr>
        <w:spacing w:after="0" w:line="240" w:lineRule="auto"/>
        <w:rPr>
          <w:rFonts w:ascii="Luciole" w:hAnsi="Luciole"/>
          <w:b/>
          <w:color w:val="FFFFFF"/>
          <w:sz w:val="24"/>
        </w:rPr>
      </w:pPr>
      <w:r w:rsidRPr="00D17B39">
        <w:rPr>
          <w:rFonts w:ascii="Luciole" w:hAnsi="Luciole"/>
          <w:b/>
          <w:color w:val="FFFFFF"/>
          <w:sz w:val="24"/>
        </w:rPr>
        <w:t>M</w:t>
      </w:r>
    </w:p>
    <w:p w14:paraId="7455611C" w14:textId="77E9ED8C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bookmarkStart w:id="0" w:name="_GoBack"/>
      <w:bookmarkEnd w:id="0"/>
      <w:r w:rsidRPr="00D17B39">
        <w:rPr>
          <w:rFonts w:ascii="Luciole" w:hAnsi="Luciole"/>
          <w:b/>
          <w:color w:val="FFFFFF"/>
          <w:sz w:val="24"/>
        </w:rPr>
        <w:lastRenderedPageBreak/>
        <w:t>CT ET TRANSFÉRABILITÉ :</w:t>
      </w:r>
    </w:p>
    <w:p w14:paraId="3C52A8DC" w14:textId="071C3633" w:rsidR="00B15F4A" w:rsidRPr="00D17B39" w:rsidRDefault="00B15F4A" w:rsidP="001765F7">
      <w:pPr>
        <w:pStyle w:val="Titre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D17B39">
        <w:rPr>
          <w:sz w:val="24"/>
          <w:szCs w:val="24"/>
        </w:rPr>
        <w:t>Impact sur les groupes</w:t>
      </w:r>
      <w:r w:rsidR="00EC070B" w:rsidRPr="00D17B39">
        <w:rPr>
          <w:sz w:val="24"/>
          <w:szCs w:val="24"/>
        </w:rPr>
        <w:t xml:space="preserve"> </w:t>
      </w:r>
      <w:r w:rsidRPr="00D17B39">
        <w:rPr>
          <w:rFonts w:eastAsia="Times New Roman" w:cs="Times New Roman"/>
          <w:sz w:val="24"/>
          <w:szCs w:val="24"/>
        </w:rPr>
        <w:t>cibles</w:t>
      </w:r>
      <w:r w:rsidR="009D3B42" w:rsidRPr="00D17B39">
        <w:rPr>
          <w:rFonts w:ascii="Calibri" w:eastAsia="Times New Roman" w:hAnsi="Calibri" w:cs="Calibri"/>
          <w:sz w:val="24"/>
          <w:szCs w:val="24"/>
        </w:rPr>
        <w:t> </w:t>
      </w:r>
      <w:r w:rsidR="009D3B42" w:rsidRPr="00D17B39">
        <w:rPr>
          <w:rFonts w:eastAsia="Times New Roman" w:cs="Times New Roman"/>
          <w:sz w:val="24"/>
          <w:szCs w:val="24"/>
        </w:rPr>
        <w:t>:</w:t>
      </w:r>
    </w:p>
    <w:p w14:paraId="7EF8C36B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286DE7DE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4A24E5F9" w14:textId="77777777" w:rsidR="00B15F4A" w:rsidRPr="00D17B39" w:rsidRDefault="00B15F4A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A sensibilisé des dizaines de milliers de salariés sur le handicap invisible, améliorant la perception et l'intégration des travailleurs handicapés dans les entreprises.</w:t>
      </w:r>
    </w:p>
    <w:p w14:paraId="67C11397" w14:textId="77777777" w:rsidR="009D3B42" w:rsidRPr="00D17B39" w:rsidRDefault="009D3B42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75197D57" w14:textId="77777777" w:rsidR="009D3B42" w:rsidRPr="00D17B39" w:rsidRDefault="009D3B42" w:rsidP="001765F7">
      <w:pPr>
        <w:spacing w:after="0" w:line="240" w:lineRule="auto"/>
        <w:rPr>
          <w:rFonts w:ascii="Luciole" w:hAnsi="Luciole"/>
          <w:sz w:val="24"/>
        </w:rPr>
      </w:pPr>
    </w:p>
    <w:p w14:paraId="04976A6F" w14:textId="2865E2F8" w:rsidR="00B15F4A" w:rsidRPr="00D17B39" w:rsidRDefault="00B15F4A" w:rsidP="001765F7">
      <w:pPr>
        <w:pStyle w:val="EnteteTableau"/>
        <w:numPr>
          <w:ilvl w:val="0"/>
          <w:numId w:val="0"/>
        </w:numPr>
        <w:spacing w:before="0" w:line="240" w:lineRule="auto"/>
        <w:rPr>
          <w:sz w:val="24"/>
        </w:rPr>
      </w:pPr>
      <w:r w:rsidRPr="00D17B39">
        <w:rPr>
          <w:sz w:val="24"/>
        </w:rPr>
        <w:t>Brève description</w:t>
      </w:r>
      <w:r w:rsidR="009D3B42" w:rsidRPr="00D17B39">
        <w:rPr>
          <w:rFonts w:ascii="Calibri" w:hAnsi="Calibri"/>
          <w:sz w:val="24"/>
        </w:rPr>
        <w:t> </w:t>
      </w:r>
      <w:r w:rsidR="009D3B42" w:rsidRPr="00D17B39">
        <w:rPr>
          <w:sz w:val="24"/>
        </w:rPr>
        <w:t>:</w:t>
      </w:r>
    </w:p>
    <w:p w14:paraId="0BB8603D" w14:textId="77777777" w:rsidR="001765F7" w:rsidRPr="00D17B39" w:rsidRDefault="001765F7" w:rsidP="001765F7">
      <w:pPr>
        <w:spacing w:after="0" w:line="240" w:lineRule="auto"/>
        <w:rPr>
          <w:rFonts w:ascii="Luciole" w:eastAsia="Times New Roman" w:hAnsi="Luciole" w:cs="Times New Roman"/>
          <w:sz w:val="24"/>
        </w:rPr>
      </w:pPr>
    </w:p>
    <w:p w14:paraId="3FDAEA28" w14:textId="77777777" w:rsidR="00B15F4A" w:rsidRPr="00D17B39" w:rsidRDefault="00B15F4A" w:rsidP="001765F7">
      <w:pPr>
        <w:spacing w:after="0" w:line="240" w:lineRule="auto"/>
        <w:rPr>
          <w:rFonts w:ascii="Luciole" w:hAnsi="Luciole"/>
          <w:sz w:val="24"/>
        </w:rPr>
      </w:pPr>
      <w:r w:rsidRPr="00D17B39">
        <w:rPr>
          <w:rFonts w:ascii="Luciole" w:eastAsia="Times New Roman" w:hAnsi="Luciole" w:cs="Times New Roman"/>
          <w:sz w:val="24"/>
        </w:rPr>
        <w:t>Facilement intégrable dans divers contextes organisationnels grâce à sa nature numérique et sa facilité de déploiement, CobraZero peut être adapté à différentes cultures d'entreprise et contextes géographiques pour élargir son impact.</w:t>
      </w:r>
    </w:p>
    <w:sectPr w:rsidR="00B15F4A" w:rsidRPr="00D17B39" w:rsidSect="001C06E4">
      <w:headerReference w:type="default" r:id="rId11"/>
      <w:footerReference w:type="default" r:id="rId12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3C843" w14:textId="77777777" w:rsidR="00B0019F" w:rsidRDefault="00B0019F" w:rsidP="008D2C54">
      <w:r>
        <w:separator/>
      </w:r>
    </w:p>
  </w:endnote>
  <w:endnote w:type="continuationSeparator" w:id="0">
    <w:p w14:paraId="0415EA71" w14:textId="77777777" w:rsidR="00B0019F" w:rsidRDefault="00B0019F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altName w:val="Calibri"/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F90D05B2-4678-4AB2-B7E8-154451DD9AD1}"/>
    <w:embedBold r:id="rId2" w:fontKey="{CEC7090B-2FC7-4EA4-BCC8-6ECFEB914846}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B71C0945-28D1-4BFD-85F2-B015B0BA8093}"/>
    <w:embedBold r:id="rId4" w:subsetted="1" w:fontKey="{EF9015B6-54D8-49BF-AC61-6CA4A221B9D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5305B507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39">
          <w:rPr>
            <w:noProof/>
          </w:rPr>
          <w:t>4</w:t>
        </w:r>
        <w:r>
          <w:fldChar w:fldCharType="end"/>
        </w:r>
      </w:p>
    </w:sdtContent>
  </w:sdt>
  <w:p w14:paraId="1CFEC2A9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43926" w14:textId="77777777" w:rsidR="00B0019F" w:rsidRDefault="00B0019F" w:rsidP="008D2C54">
      <w:r>
        <w:separator/>
      </w:r>
    </w:p>
  </w:footnote>
  <w:footnote w:type="continuationSeparator" w:id="0">
    <w:p w14:paraId="0B62347A" w14:textId="77777777" w:rsidR="00B0019F" w:rsidRDefault="00B0019F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9876" w14:textId="77777777" w:rsidR="008D2C54" w:rsidRDefault="00F8340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18331A66" wp14:editId="7B887DE3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3E526E91" wp14:editId="7B688950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09B923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22"/>
  </w:num>
  <w:num w:numId="5">
    <w:abstractNumId w:val="2"/>
  </w:num>
  <w:num w:numId="6">
    <w:abstractNumId w:val="3"/>
  </w:num>
  <w:num w:numId="7">
    <w:abstractNumId w:val="19"/>
  </w:num>
  <w:num w:numId="8">
    <w:abstractNumId w:val="23"/>
  </w:num>
  <w:num w:numId="9">
    <w:abstractNumId w:val="5"/>
  </w:num>
  <w:num w:numId="10">
    <w:abstractNumId w:val="16"/>
  </w:num>
  <w:num w:numId="11">
    <w:abstractNumId w:val="18"/>
  </w:num>
  <w:num w:numId="12">
    <w:abstractNumId w:val="6"/>
  </w:num>
  <w:num w:numId="13">
    <w:abstractNumId w:val="1"/>
  </w:num>
  <w:num w:numId="14">
    <w:abstractNumId w:val="24"/>
  </w:num>
  <w:num w:numId="15">
    <w:abstractNumId w:val="9"/>
  </w:num>
  <w:num w:numId="16">
    <w:abstractNumId w:val="0"/>
  </w:num>
  <w:num w:numId="17">
    <w:abstractNumId w:val="14"/>
  </w:num>
  <w:num w:numId="18">
    <w:abstractNumId w:val="20"/>
  </w:num>
  <w:num w:numId="19">
    <w:abstractNumId w:val="7"/>
  </w:num>
  <w:num w:numId="20">
    <w:abstractNumId w:val="15"/>
  </w:num>
  <w:num w:numId="21">
    <w:abstractNumId w:val="4"/>
  </w:num>
  <w:num w:numId="22">
    <w:abstractNumId w:val="12"/>
  </w:num>
  <w:num w:numId="23">
    <w:abstractNumId w:val="17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A"/>
    <w:rsid w:val="00125850"/>
    <w:rsid w:val="001765F7"/>
    <w:rsid w:val="001C06E4"/>
    <w:rsid w:val="002052FF"/>
    <w:rsid w:val="002E1F33"/>
    <w:rsid w:val="002F109E"/>
    <w:rsid w:val="003058F9"/>
    <w:rsid w:val="00344B35"/>
    <w:rsid w:val="00357120"/>
    <w:rsid w:val="003748C3"/>
    <w:rsid w:val="003E67EF"/>
    <w:rsid w:val="00435290"/>
    <w:rsid w:val="0043677B"/>
    <w:rsid w:val="00483345"/>
    <w:rsid w:val="0049728F"/>
    <w:rsid w:val="004C45B6"/>
    <w:rsid w:val="004F69D1"/>
    <w:rsid w:val="00532CCF"/>
    <w:rsid w:val="00533A90"/>
    <w:rsid w:val="005B47C7"/>
    <w:rsid w:val="006955FF"/>
    <w:rsid w:val="006C2583"/>
    <w:rsid w:val="006C5B7A"/>
    <w:rsid w:val="006D53CC"/>
    <w:rsid w:val="006F2824"/>
    <w:rsid w:val="00732774"/>
    <w:rsid w:val="00777167"/>
    <w:rsid w:val="007A1FBB"/>
    <w:rsid w:val="007D6C46"/>
    <w:rsid w:val="008657EB"/>
    <w:rsid w:val="00875269"/>
    <w:rsid w:val="008B4129"/>
    <w:rsid w:val="008D2C54"/>
    <w:rsid w:val="008D7634"/>
    <w:rsid w:val="008E46FD"/>
    <w:rsid w:val="00967BB0"/>
    <w:rsid w:val="009D3B42"/>
    <w:rsid w:val="009E18D8"/>
    <w:rsid w:val="00A26B77"/>
    <w:rsid w:val="00A579EA"/>
    <w:rsid w:val="00A768BD"/>
    <w:rsid w:val="00AE07A3"/>
    <w:rsid w:val="00AF5BF2"/>
    <w:rsid w:val="00B0019F"/>
    <w:rsid w:val="00B15F4A"/>
    <w:rsid w:val="00B97622"/>
    <w:rsid w:val="00C13CAA"/>
    <w:rsid w:val="00C253B4"/>
    <w:rsid w:val="00C72994"/>
    <w:rsid w:val="00C819A8"/>
    <w:rsid w:val="00C976F9"/>
    <w:rsid w:val="00CE6F36"/>
    <w:rsid w:val="00D17B39"/>
    <w:rsid w:val="00D41596"/>
    <w:rsid w:val="00D82191"/>
    <w:rsid w:val="00D93F3C"/>
    <w:rsid w:val="00E6176F"/>
    <w:rsid w:val="00E936A3"/>
    <w:rsid w:val="00EC070B"/>
    <w:rsid w:val="00EC07E4"/>
    <w:rsid w:val="00ED1093"/>
    <w:rsid w:val="00F430B8"/>
    <w:rsid w:val="00F47743"/>
    <w:rsid w:val="00F75FD6"/>
    <w:rsid w:val="00F8340D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2469"/>
  <w15:chartTrackingRefBased/>
  <w15:docId w15:val="{71EA9B45-E197-4248-AF33-A90CB52E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4A"/>
    <w:rPr>
      <w:rFonts w:ascii="Calibri" w:eastAsia="Calibri" w:hAnsi="Calibri" w:cs="Calibri"/>
      <w:color w:val="000000"/>
      <w:kern w:val="2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C070B"/>
    <w:pPr>
      <w:keepNext/>
      <w:keepLines/>
      <w:numPr>
        <w:numId w:val="25"/>
      </w:numPr>
      <w:spacing w:before="240" w:line="480" w:lineRule="auto"/>
      <w:outlineLvl w:val="0"/>
    </w:pPr>
    <w:rPr>
      <w:rFonts w:ascii="Luciole" w:eastAsiaTheme="majorEastAsia" w:hAnsi="Luciole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ascii="Luciole" w:eastAsiaTheme="majorEastAsia" w:hAnsi="Luciole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C070B"/>
    <w:rPr>
      <w:rFonts w:ascii="Luciole" w:eastAsiaTheme="majorEastAsia" w:hAnsi="Luciole" w:cstheme="majorBidi"/>
      <w:b/>
      <w:caps/>
      <w:color w:val="000000" w:themeColor="text1"/>
      <w:kern w:val="2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6955FF"/>
    <w:pPr>
      <w:numPr>
        <w:numId w:val="1"/>
      </w:numPr>
      <w:spacing w:before="240" w:after="0"/>
      <w:ind w:left="714" w:hanging="357"/>
    </w:pPr>
    <w:rPr>
      <w:rFonts w:ascii="Luciole" w:hAnsi="Luciole"/>
      <w:b/>
    </w:rPr>
  </w:style>
  <w:style w:type="character" w:customStyle="1" w:styleId="EnteteTableauCar">
    <w:name w:val="Entete_Tableau Car"/>
    <w:basedOn w:val="Policepardfaut"/>
    <w:link w:val="EnteteTableau"/>
    <w:rsid w:val="006955FF"/>
    <w:rPr>
      <w:rFonts w:ascii="Luciole" w:eastAsia="Calibri" w:hAnsi="Luciole" w:cs="Calibri"/>
      <w:b/>
      <w:color w:val="000000"/>
      <w:kern w:val="2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ascii="Luciole" w:eastAsiaTheme="majorEastAsia" w:hAnsi="Luciole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">
    <w:name w:val="Cellule"/>
    <w:basedOn w:val="Normal"/>
    <w:link w:val="CelluleCar"/>
    <w:qFormat/>
    <w:rsid w:val="00EC070B"/>
    <w:pPr>
      <w:spacing w:after="0"/>
      <w:ind w:left="357"/>
      <w:jc w:val="both"/>
    </w:pPr>
    <w:rPr>
      <w:rFonts w:ascii="Luciole" w:eastAsia="Times New Roman" w:hAnsi="Luciole" w:cs="Times New Roman"/>
      <w:sz w:val="24"/>
    </w:rPr>
  </w:style>
  <w:style w:type="character" w:customStyle="1" w:styleId="CelluleCar">
    <w:name w:val="Cellule Car"/>
    <w:basedOn w:val="Policepardfaut"/>
    <w:link w:val="Cellule"/>
    <w:rsid w:val="00EC070B"/>
    <w:rPr>
      <w:rFonts w:ascii="Luciole" w:eastAsia="Times New Roman" w:hAnsi="Luciole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wino.com/cobraz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owino.com/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wino.com/contact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909C-6267-4E76-9BC1-3434A572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41</TotalTime>
  <Pages>4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10</cp:revision>
  <dcterms:created xsi:type="dcterms:W3CDTF">2024-12-23T10:30:00Z</dcterms:created>
  <dcterms:modified xsi:type="dcterms:W3CDTF">2024-12-30T17:33:00Z</dcterms:modified>
</cp:coreProperties>
</file>