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8BC32" w14:textId="77777777" w:rsidR="0055604F" w:rsidRPr="00B57729" w:rsidRDefault="0055604F" w:rsidP="00B57729">
      <w:pPr>
        <w:pStyle w:val="TitreDocument"/>
        <w:spacing w:before="0" w:after="0" w:line="240" w:lineRule="auto"/>
        <w:ind w:left="0"/>
        <w:jc w:val="left"/>
        <w:rPr>
          <w:szCs w:val="24"/>
        </w:rPr>
      </w:pPr>
      <w:bookmarkStart w:id="0" w:name="_Hlk185873508"/>
      <w:r w:rsidRPr="00B57729">
        <w:rPr>
          <w:szCs w:val="24"/>
        </w:rPr>
        <w:t>E-HANDI TOUR GUIDE DE L’INCLUSION INNOVANTE DES PSDH</w:t>
      </w:r>
    </w:p>
    <w:p w14:paraId="0BC3F18C" w14:textId="77777777" w:rsidR="00B57729" w:rsidRDefault="00B57729" w:rsidP="00B57729">
      <w:pPr>
        <w:pStyle w:val="TitreDocument"/>
        <w:spacing w:before="0" w:after="0" w:line="240" w:lineRule="auto"/>
        <w:ind w:left="0"/>
        <w:jc w:val="left"/>
        <w:rPr>
          <w:szCs w:val="24"/>
        </w:rPr>
      </w:pPr>
    </w:p>
    <w:p w14:paraId="5B388090" w14:textId="1DC04D2E" w:rsidR="0055604F" w:rsidRDefault="0055604F" w:rsidP="00B57729">
      <w:pPr>
        <w:pStyle w:val="TitreDocument"/>
        <w:spacing w:before="0" w:after="0" w:line="240" w:lineRule="auto"/>
        <w:ind w:left="0"/>
        <w:jc w:val="left"/>
        <w:rPr>
          <w:szCs w:val="24"/>
        </w:rPr>
      </w:pPr>
      <w:r w:rsidRPr="00B57729">
        <w:rPr>
          <w:szCs w:val="24"/>
        </w:rPr>
        <w:t>Dispositifs préparatoires de l'ESRP de Lyon</w:t>
      </w:r>
      <w:r w:rsidR="001244A2" w:rsidRPr="00B57729">
        <w:rPr>
          <w:szCs w:val="24"/>
        </w:rPr>
        <w:t>.</w:t>
      </w:r>
    </w:p>
    <w:p w14:paraId="77164FCA" w14:textId="77777777" w:rsidR="00B57729" w:rsidRDefault="00B57729" w:rsidP="00B57729">
      <w:pPr>
        <w:pStyle w:val="TitreDocument"/>
        <w:spacing w:before="0" w:after="0" w:line="240" w:lineRule="auto"/>
        <w:ind w:left="0"/>
        <w:jc w:val="left"/>
        <w:rPr>
          <w:szCs w:val="24"/>
        </w:rPr>
      </w:pPr>
    </w:p>
    <w:p w14:paraId="2DFFE09C" w14:textId="77777777" w:rsidR="00B57729" w:rsidRPr="00B57729" w:rsidRDefault="00B57729" w:rsidP="00B57729">
      <w:pPr>
        <w:pStyle w:val="TitreDocument"/>
        <w:spacing w:before="0" w:after="0" w:line="240" w:lineRule="auto"/>
        <w:ind w:left="0"/>
        <w:jc w:val="left"/>
        <w:rPr>
          <w:szCs w:val="24"/>
        </w:rPr>
      </w:pPr>
    </w:p>
    <w:p w14:paraId="057F83E4" w14:textId="6B7EFE5B" w:rsidR="00D95A34" w:rsidRPr="00B57729" w:rsidRDefault="0055604F" w:rsidP="00B57729">
      <w:pPr>
        <w:pStyle w:val="EnteteTableau"/>
        <w:numPr>
          <w:ilvl w:val="0"/>
          <w:numId w:val="0"/>
        </w:numPr>
        <w:spacing w:before="0" w:after="0"/>
      </w:pPr>
      <w:r w:rsidRPr="00B57729">
        <w:t>Titre de la pratique exemplaire</w:t>
      </w:r>
      <w:r w:rsidR="001244A2" w:rsidRPr="00B57729">
        <w:rPr>
          <w:rFonts w:ascii="Calibri" w:hAnsi="Calibri" w:cs="Calibri"/>
        </w:rPr>
        <w:t> </w:t>
      </w:r>
      <w:r w:rsidR="001244A2" w:rsidRPr="00B57729">
        <w:t>:</w:t>
      </w:r>
    </w:p>
    <w:p w14:paraId="4C588D9F" w14:textId="77777777" w:rsidR="00B57729" w:rsidRDefault="00B57729" w:rsidP="00B57729">
      <w:pPr>
        <w:pStyle w:val="CelluleTableau"/>
        <w:spacing w:line="240" w:lineRule="auto"/>
        <w:ind w:left="0" w:right="0"/>
        <w:rPr>
          <w:rFonts w:eastAsiaTheme="minorHAnsi"/>
        </w:rPr>
      </w:pPr>
    </w:p>
    <w:p w14:paraId="6564534F" w14:textId="01F0D7CF" w:rsidR="0055604F" w:rsidRPr="00B57729" w:rsidRDefault="0055604F" w:rsidP="00B57729">
      <w:pPr>
        <w:pStyle w:val="CelluleTableau"/>
        <w:spacing w:line="240" w:lineRule="auto"/>
        <w:ind w:left="0" w:right="0"/>
        <w:rPr>
          <w:rFonts w:eastAsiaTheme="minorHAnsi"/>
        </w:rPr>
      </w:pPr>
      <w:r w:rsidRPr="00B57729">
        <w:rPr>
          <w:rFonts w:eastAsiaTheme="minorHAnsi"/>
        </w:rPr>
        <w:t>Dispositifs préparatoires de l'ESRP de Lyon</w:t>
      </w:r>
      <w:r w:rsidR="001244A2" w:rsidRPr="00B57729">
        <w:rPr>
          <w:rFonts w:eastAsiaTheme="minorHAnsi"/>
        </w:rPr>
        <w:t>.</w:t>
      </w:r>
    </w:p>
    <w:p w14:paraId="7C3DFB81" w14:textId="77777777" w:rsidR="00B57729" w:rsidRDefault="00B57729" w:rsidP="00B57729">
      <w:pPr>
        <w:pStyle w:val="EnteteTableau"/>
        <w:numPr>
          <w:ilvl w:val="0"/>
          <w:numId w:val="0"/>
        </w:numPr>
        <w:spacing w:before="0" w:after="0"/>
      </w:pPr>
    </w:p>
    <w:p w14:paraId="7A86BD24" w14:textId="321E88B3" w:rsidR="00D95A34" w:rsidRPr="00B57729" w:rsidRDefault="0055604F" w:rsidP="00B57729">
      <w:pPr>
        <w:pStyle w:val="EnteteTableau"/>
        <w:numPr>
          <w:ilvl w:val="0"/>
          <w:numId w:val="0"/>
        </w:numPr>
        <w:spacing w:before="0" w:after="0"/>
      </w:pPr>
      <w:r w:rsidRPr="00B57729">
        <w:t>Promoteur de l'initiative</w:t>
      </w:r>
      <w:r w:rsidR="001244A2" w:rsidRPr="00B57729">
        <w:rPr>
          <w:rFonts w:ascii="Calibri" w:hAnsi="Calibri" w:cs="Calibri"/>
        </w:rPr>
        <w:t> </w:t>
      </w:r>
      <w:r w:rsidR="001244A2" w:rsidRPr="00B57729">
        <w:t>:</w:t>
      </w:r>
    </w:p>
    <w:p w14:paraId="70E66F88" w14:textId="77777777" w:rsidR="00B57729" w:rsidRDefault="00B57729" w:rsidP="00B57729">
      <w:pPr>
        <w:pStyle w:val="CelluleTableau"/>
        <w:spacing w:line="240" w:lineRule="auto"/>
        <w:ind w:left="0" w:right="0"/>
        <w:rPr>
          <w:rFonts w:eastAsiaTheme="minorHAnsi"/>
        </w:rPr>
      </w:pPr>
    </w:p>
    <w:p w14:paraId="38FD6705" w14:textId="3763C720" w:rsidR="0055604F" w:rsidRPr="00B57729" w:rsidRDefault="0055604F" w:rsidP="00B57729">
      <w:pPr>
        <w:pStyle w:val="CelluleTableau"/>
        <w:spacing w:line="240" w:lineRule="auto"/>
        <w:ind w:left="0" w:right="0"/>
        <w:rPr>
          <w:rFonts w:eastAsiaTheme="minorHAnsi"/>
        </w:rPr>
      </w:pPr>
      <w:r w:rsidRPr="00B57729">
        <w:rPr>
          <w:rFonts w:eastAsiaTheme="minorHAnsi"/>
        </w:rPr>
        <w:t>Établissement Spécialisé de Réadaptation Professionnelle</w:t>
      </w:r>
      <w:r w:rsidR="00D95A34" w:rsidRPr="00B57729">
        <w:t xml:space="preserve"> </w:t>
      </w:r>
      <w:r w:rsidRPr="00B57729">
        <w:rPr>
          <w:rFonts w:eastAsiaTheme="minorHAnsi"/>
        </w:rPr>
        <w:t>(ESRP) de Lyon</w:t>
      </w:r>
      <w:r w:rsidR="001244A2" w:rsidRPr="00B57729">
        <w:rPr>
          <w:rFonts w:eastAsiaTheme="minorHAnsi"/>
        </w:rPr>
        <w:t>.</w:t>
      </w:r>
    </w:p>
    <w:p w14:paraId="586F0D73" w14:textId="77777777" w:rsidR="001244A2" w:rsidRPr="00B57729" w:rsidRDefault="001244A2" w:rsidP="00B57729">
      <w:pPr>
        <w:pStyle w:val="CelluleTableau"/>
        <w:spacing w:line="240" w:lineRule="auto"/>
        <w:ind w:left="0" w:right="0"/>
        <w:rPr>
          <w:rFonts w:eastAsiaTheme="minorHAnsi"/>
        </w:rPr>
      </w:pPr>
    </w:p>
    <w:p w14:paraId="5351B55B" w14:textId="77777777" w:rsidR="00B57729" w:rsidRDefault="0055604F" w:rsidP="00B57729">
      <w:pPr>
        <w:pStyle w:val="EnteteTableau"/>
        <w:numPr>
          <w:ilvl w:val="0"/>
          <w:numId w:val="0"/>
        </w:numPr>
        <w:spacing w:before="0" w:after="0"/>
      </w:pPr>
      <w:r w:rsidRPr="00B57729">
        <w:t>Pays</w:t>
      </w:r>
      <w:r w:rsidR="001244A2" w:rsidRPr="00B57729">
        <w:rPr>
          <w:rFonts w:ascii="Calibri" w:hAnsi="Calibri" w:cs="Calibri"/>
        </w:rPr>
        <w:t> </w:t>
      </w:r>
      <w:r w:rsidR="001244A2" w:rsidRPr="00B57729">
        <w:t xml:space="preserve">: </w:t>
      </w:r>
    </w:p>
    <w:p w14:paraId="2E798A23" w14:textId="77777777" w:rsidR="00B57729" w:rsidRDefault="00B57729" w:rsidP="00B57729">
      <w:pPr>
        <w:pStyle w:val="EnteteTableau"/>
        <w:numPr>
          <w:ilvl w:val="0"/>
          <w:numId w:val="0"/>
        </w:numPr>
        <w:spacing w:before="0" w:after="0"/>
      </w:pPr>
    </w:p>
    <w:p w14:paraId="4CC84B73" w14:textId="54552AA6" w:rsidR="00B57729" w:rsidRDefault="00B57729" w:rsidP="00B57729">
      <w:pPr>
        <w:pStyle w:val="EnteteTableau"/>
        <w:numPr>
          <w:ilvl w:val="0"/>
          <w:numId w:val="0"/>
        </w:numPr>
        <w:spacing w:before="0" w:after="0"/>
        <w:rPr>
          <w:rFonts w:eastAsiaTheme="minorHAnsi"/>
        </w:rPr>
      </w:pPr>
      <w:r>
        <w:rPr>
          <w:rFonts w:eastAsiaTheme="minorHAnsi"/>
          <w:b w:val="0"/>
        </w:rPr>
        <w:t>France</w:t>
      </w:r>
    </w:p>
    <w:p w14:paraId="6251F985" w14:textId="77777777" w:rsidR="00B57729" w:rsidRDefault="00B57729" w:rsidP="00B57729">
      <w:pPr>
        <w:pStyle w:val="EnteteTableau"/>
        <w:numPr>
          <w:ilvl w:val="0"/>
          <w:numId w:val="0"/>
        </w:numPr>
        <w:spacing w:before="0" w:after="0"/>
        <w:rPr>
          <w:rFonts w:eastAsiaTheme="minorHAnsi"/>
        </w:rPr>
      </w:pPr>
    </w:p>
    <w:p w14:paraId="7DDE4DA3" w14:textId="77777777" w:rsidR="00B57729" w:rsidRDefault="0055604F" w:rsidP="00B57729">
      <w:pPr>
        <w:pStyle w:val="EnteteTableau"/>
        <w:numPr>
          <w:ilvl w:val="0"/>
          <w:numId w:val="0"/>
        </w:numPr>
        <w:spacing w:before="0" w:after="0"/>
      </w:pPr>
      <w:r w:rsidRPr="00B57729">
        <w:t>Site internet</w:t>
      </w:r>
      <w:r w:rsidR="001244A2" w:rsidRPr="00B57729">
        <w:rPr>
          <w:rFonts w:ascii="Calibri" w:hAnsi="Calibri" w:cs="Calibri"/>
        </w:rPr>
        <w:t> </w:t>
      </w:r>
      <w:r w:rsidR="001244A2" w:rsidRPr="00B57729">
        <w:t xml:space="preserve">: </w:t>
      </w:r>
    </w:p>
    <w:p w14:paraId="69D41960" w14:textId="77777777" w:rsidR="00B57729" w:rsidRDefault="00B57729" w:rsidP="00B57729">
      <w:pPr>
        <w:pStyle w:val="EnteteTableau"/>
        <w:numPr>
          <w:ilvl w:val="0"/>
          <w:numId w:val="0"/>
        </w:numPr>
        <w:spacing w:before="0" w:after="0"/>
      </w:pPr>
    </w:p>
    <w:p w14:paraId="1E3B3052" w14:textId="54555CC0" w:rsidR="0055604F" w:rsidRPr="00B57729" w:rsidRDefault="00D95A34" w:rsidP="00B57729">
      <w:pPr>
        <w:pStyle w:val="EnteteTableau"/>
        <w:numPr>
          <w:ilvl w:val="0"/>
          <w:numId w:val="0"/>
        </w:numPr>
        <w:spacing w:before="0" w:after="0"/>
        <w:rPr>
          <w:rStyle w:val="Lienhypertexte"/>
          <w:rFonts w:eastAsiaTheme="minorHAnsi"/>
          <w:color w:val="000000"/>
          <w:u w:val="none"/>
        </w:rPr>
      </w:pPr>
      <w:r w:rsidRPr="00B57729">
        <w:rPr>
          <w:rFonts w:eastAsiaTheme="minorHAnsi"/>
        </w:rPr>
        <w:fldChar w:fldCharType="begin"/>
      </w:r>
      <w:r w:rsidRPr="00B57729">
        <w:rPr>
          <w:rFonts w:eastAsiaTheme="minorHAnsi"/>
        </w:rPr>
        <w:instrText>HYPERLINK "https://esrp-lyon.fr/" \o "Site de l'ESRP de Lyon"</w:instrText>
      </w:r>
      <w:r w:rsidRPr="00B57729">
        <w:rPr>
          <w:rFonts w:eastAsiaTheme="minorHAnsi"/>
        </w:rPr>
        <w:fldChar w:fldCharType="separate"/>
      </w:r>
      <w:r w:rsidR="0055604F" w:rsidRPr="00B57729">
        <w:rPr>
          <w:rStyle w:val="Lienhypertexte"/>
          <w:rFonts w:eastAsiaTheme="minorHAnsi"/>
        </w:rPr>
        <w:t>https://esrp-lyon.fr</w:t>
      </w:r>
    </w:p>
    <w:p w14:paraId="08DE59BC" w14:textId="77777777" w:rsidR="00B57729" w:rsidRDefault="00D95A34" w:rsidP="00B57729">
      <w:pPr>
        <w:pStyle w:val="EnteteTableau"/>
        <w:numPr>
          <w:ilvl w:val="0"/>
          <w:numId w:val="0"/>
        </w:numPr>
        <w:spacing w:before="0" w:after="0"/>
        <w:rPr>
          <w:rFonts w:eastAsiaTheme="minorHAnsi" w:cs="Times New Roman"/>
        </w:rPr>
      </w:pPr>
      <w:r w:rsidRPr="00B57729">
        <w:rPr>
          <w:rFonts w:eastAsiaTheme="minorHAnsi" w:cs="Times New Roman"/>
        </w:rPr>
        <w:fldChar w:fldCharType="end"/>
      </w:r>
    </w:p>
    <w:p w14:paraId="10AE12DD" w14:textId="77777777" w:rsidR="00B57729" w:rsidRDefault="0055604F" w:rsidP="00B57729">
      <w:pPr>
        <w:pStyle w:val="EnteteTableau"/>
        <w:numPr>
          <w:ilvl w:val="0"/>
          <w:numId w:val="0"/>
        </w:numPr>
        <w:spacing w:before="0" w:after="0"/>
      </w:pPr>
      <w:r w:rsidRPr="00B57729">
        <w:t>Contact</w:t>
      </w:r>
      <w:r w:rsidR="001244A2" w:rsidRPr="00B57729">
        <w:rPr>
          <w:rFonts w:ascii="Calibri" w:hAnsi="Calibri" w:cs="Calibri"/>
        </w:rPr>
        <w:t> </w:t>
      </w:r>
      <w:r w:rsidR="001244A2" w:rsidRPr="00B57729">
        <w:t xml:space="preserve">: </w:t>
      </w:r>
    </w:p>
    <w:p w14:paraId="504FAA95" w14:textId="77777777" w:rsidR="00B57729" w:rsidRDefault="00B57729" w:rsidP="00B57729">
      <w:pPr>
        <w:pStyle w:val="EnteteTableau"/>
        <w:numPr>
          <w:ilvl w:val="0"/>
          <w:numId w:val="0"/>
        </w:numPr>
        <w:spacing w:before="0" w:after="0"/>
      </w:pPr>
    </w:p>
    <w:p w14:paraId="5FB983E4" w14:textId="011651E0" w:rsidR="0055604F" w:rsidRPr="00B57729" w:rsidRDefault="00F21580" w:rsidP="00B57729">
      <w:pPr>
        <w:pStyle w:val="EnteteTableau"/>
        <w:numPr>
          <w:ilvl w:val="0"/>
          <w:numId w:val="0"/>
        </w:numPr>
        <w:spacing w:before="0" w:after="0"/>
        <w:rPr>
          <w:rFonts w:eastAsiaTheme="minorHAnsi"/>
        </w:rPr>
      </w:pPr>
      <w:hyperlink r:id="rId8" w:tooltip="Contact de l'ESRP de Lyon" w:history="1">
        <w:r w:rsidR="0055604F" w:rsidRPr="00B57729">
          <w:rPr>
            <w:rStyle w:val="Lienhypertexte"/>
            <w:rFonts w:eastAsiaTheme="minorHAnsi"/>
          </w:rPr>
          <w:t>contact@esrp-lyon.fr</w:t>
        </w:r>
      </w:hyperlink>
    </w:p>
    <w:p w14:paraId="1F3636B8" w14:textId="77777777" w:rsidR="00D95A34" w:rsidRDefault="00D95A34" w:rsidP="00B57729">
      <w:pPr>
        <w:spacing w:after="0" w:line="240" w:lineRule="auto"/>
        <w:ind w:left="0" w:firstLine="0"/>
      </w:pPr>
    </w:p>
    <w:p w14:paraId="1B4FF66A" w14:textId="77777777" w:rsidR="00B57729" w:rsidRPr="00B57729" w:rsidRDefault="00B57729" w:rsidP="00B57729">
      <w:pPr>
        <w:spacing w:after="0" w:line="240" w:lineRule="auto"/>
        <w:ind w:left="0" w:firstLine="0"/>
      </w:pPr>
    </w:p>
    <w:p w14:paraId="7F3C07B5" w14:textId="1946076C" w:rsidR="0055604F" w:rsidRPr="00B57729" w:rsidRDefault="0055604F" w:rsidP="00B57729">
      <w:pPr>
        <w:pStyle w:val="Titre1"/>
        <w:numPr>
          <w:ilvl w:val="0"/>
          <w:numId w:val="0"/>
        </w:numPr>
        <w:spacing w:before="0" w:after="0" w:line="240" w:lineRule="auto"/>
        <w:rPr>
          <w:szCs w:val="24"/>
        </w:rPr>
      </w:pPr>
      <w:r w:rsidRPr="00B57729">
        <w:rPr>
          <w:szCs w:val="24"/>
        </w:rPr>
        <w:t>DETAIL DE L’INITIATIVE</w:t>
      </w:r>
      <w:r w:rsidR="001244A2" w:rsidRPr="00B57729">
        <w:rPr>
          <w:rFonts w:ascii="Calibri" w:hAnsi="Calibri" w:cs="Calibri"/>
          <w:szCs w:val="24"/>
        </w:rPr>
        <w:t> </w:t>
      </w:r>
      <w:r w:rsidR="001244A2" w:rsidRPr="00B57729">
        <w:rPr>
          <w:szCs w:val="24"/>
        </w:rPr>
        <w:t>:</w:t>
      </w:r>
    </w:p>
    <w:p w14:paraId="65AD0F1B" w14:textId="77777777" w:rsidR="00B57729" w:rsidRDefault="00B57729" w:rsidP="00B57729">
      <w:pPr>
        <w:pStyle w:val="EnteteTableau"/>
        <w:numPr>
          <w:ilvl w:val="0"/>
          <w:numId w:val="0"/>
        </w:numPr>
        <w:spacing w:before="0" w:after="0"/>
      </w:pPr>
    </w:p>
    <w:p w14:paraId="3B296D67" w14:textId="77777777" w:rsidR="00B57729" w:rsidRDefault="00B57729" w:rsidP="00B57729">
      <w:pPr>
        <w:pStyle w:val="EnteteTableau"/>
        <w:numPr>
          <w:ilvl w:val="0"/>
          <w:numId w:val="0"/>
        </w:numPr>
        <w:spacing w:before="0" w:after="0"/>
      </w:pPr>
    </w:p>
    <w:p w14:paraId="3F56E627" w14:textId="77777777" w:rsidR="00B57729" w:rsidRDefault="0055604F" w:rsidP="00B57729">
      <w:pPr>
        <w:pStyle w:val="EnteteTableau"/>
        <w:numPr>
          <w:ilvl w:val="0"/>
          <w:numId w:val="0"/>
        </w:numPr>
        <w:spacing w:before="0" w:after="0"/>
      </w:pPr>
      <w:r w:rsidRPr="00B57729">
        <w:t>Année(s) de mise en œuvre</w:t>
      </w:r>
      <w:r w:rsidR="001244A2" w:rsidRPr="00B57729">
        <w:rPr>
          <w:rFonts w:ascii="Calibri" w:hAnsi="Calibri" w:cs="Calibri"/>
        </w:rPr>
        <w:t> </w:t>
      </w:r>
      <w:r w:rsidR="001244A2" w:rsidRPr="00B57729">
        <w:t>:</w:t>
      </w:r>
    </w:p>
    <w:p w14:paraId="35A26F02" w14:textId="77777777" w:rsidR="00B57729" w:rsidRDefault="00B57729" w:rsidP="00B57729">
      <w:pPr>
        <w:pStyle w:val="EnteteTableau"/>
        <w:numPr>
          <w:ilvl w:val="0"/>
          <w:numId w:val="0"/>
        </w:numPr>
        <w:spacing w:before="0" w:after="0"/>
      </w:pPr>
    </w:p>
    <w:p w14:paraId="30CF9307" w14:textId="3389816F" w:rsidR="0055604F" w:rsidRPr="00B57729" w:rsidRDefault="0055604F" w:rsidP="00B57729">
      <w:pPr>
        <w:pStyle w:val="EnteteTableau"/>
        <w:numPr>
          <w:ilvl w:val="0"/>
          <w:numId w:val="0"/>
        </w:numPr>
        <w:spacing w:before="0" w:after="0"/>
        <w:rPr>
          <w:rFonts w:eastAsia="Calibri" w:cs="Calibri"/>
        </w:rPr>
      </w:pPr>
      <w:r w:rsidRPr="00B57729">
        <w:rPr>
          <w:b w:val="0"/>
        </w:rPr>
        <w:t>Depuis</w:t>
      </w:r>
      <w:r w:rsidRPr="00B57729">
        <w:t xml:space="preserve"> </w:t>
      </w:r>
      <w:r w:rsidRPr="00B57729">
        <w:rPr>
          <w:b w:val="0"/>
        </w:rPr>
        <w:t>2010</w:t>
      </w:r>
    </w:p>
    <w:p w14:paraId="264843A5" w14:textId="77777777" w:rsidR="0055604F" w:rsidRPr="00B57729" w:rsidRDefault="0055604F" w:rsidP="00B57729">
      <w:pPr>
        <w:pStyle w:val="EnteteTableau"/>
        <w:numPr>
          <w:ilvl w:val="0"/>
          <w:numId w:val="0"/>
        </w:numPr>
        <w:spacing w:before="0" w:after="0"/>
        <w:rPr>
          <w:rFonts w:eastAsia="Calibri" w:cs="Calibri"/>
        </w:rPr>
      </w:pPr>
      <w:r w:rsidRPr="00B57729">
        <w:lastRenderedPageBreak/>
        <w:t>Groupe(s) cible(s) :</w:t>
      </w:r>
    </w:p>
    <w:p w14:paraId="3D3753C5" w14:textId="77777777" w:rsidR="00B57729" w:rsidRDefault="00B57729" w:rsidP="00B57729">
      <w:pPr>
        <w:pStyle w:val="CelluleTableau"/>
        <w:spacing w:line="240" w:lineRule="auto"/>
        <w:ind w:left="0" w:right="0"/>
      </w:pPr>
    </w:p>
    <w:p w14:paraId="3D57CB16" w14:textId="423EA277" w:rsidR="0055604F" w:rsidRPr="00B57729" w:rsidRDefault="0055604F" w:rsidP="00B57729">
      <w:pPr>
        <w:pStyle w:val="CelluleTableau"/>
        <w:spacing w:line="240" w:lineRule="auto"/>
        <w:ind w:left="0" w:right="0"/>
      </w:pPr>
      <w:r w:rsidRPr="00B57729">
        <w:t>Jeunes dès 16 ans, travailleurs handicapés, salariés en reconversion, demandeurs d'emploi</w:t>
      </w:r>
      <w:r w:rsidR="001244A2" w:rsidRPr="00B57729">
        <w:t>.</w:t>
      </w:r>
    </w:p>
    <w:p w14:paraId="089A97E0" w14:textId="77777777" w:rsidR="001244A2" w:rsidRPr="00B57729" w:rsidRDefault="001244A2" w:rsidP="00B57729">
      <w:pPr>
        <w:pStyle w:val="CelluleTableau"/>
        <w:spacing w:line="240" w:lineRule="auto"/>
        <w:ind w:left="0" w:right="0"/>
      </w:pPr>
    </w:p>
    <w:p w14:paraId="2DC12420" w14:textId="77777777" w:rsidR="001244A2" w:rsidRPr="00B57729" w:rsidRDefault="001244A2" w:rsidP="00B57729">
      <w:pPr>
        <w:pStyle w:val="CelluleTableau"/>
        <w:spacing w:line="240" w:lineRule="auto"/>
        <w:ind w:left="0" w:right="0"/>
        <w:rPr>
          <w:rFonts w:eastAsia="Calibri" w:cs="Calibri"/>
        </w:rPr>
      </w:pPr>
    </w:p>
    <w:p w14:paraId="6C16E308" w14:textId="1FEE009F" w:rsidR="0055604F" w:rsidRPr="00B57729" w:rsidRDefault="0055604F" w:rsidP="00B57729">
      <w:pPr>
        <w:pStyle w:val="EnteteTableau"/>
        <w:numPr>
          <w:ilvl w:val="0"/>
          <w:numId w:val="0"/>
        </w:numPr>
        <w:spacing w:before="0" w:after="0"/>
        <w:rPr>
          <w:rFonts w:eastAsia="Calibri" w:cs="Calibri"/>
        </w:rPr>
      </w:pPr>
      <w:r w:rsidRPr="00B57729">
        <w:t>Description</w:t>
      </w:r>
      <w:r w:rsidR="001244A2" w:rsidRPr="00B57729">
        <w:rPr>
          <w:rFonts w:ascii="Calibri" w:hAnsi="Calibri" w:cs="Calibri"/>
        </w:rPr>
        <w:t> </w:t>
      </w:r>
      <w:r w:rsidR="001244A2" w:rsidRPr="00B57729">
        <w:t>:</w:t>
      </w:r>
    </w:p>
    <w:p w14:paraId="0E957B3F" w14:textId="77777777" w:rsidR="00B57729" w:rsidRDefault="00B57729" w:rsidP="00B57729">
      <w:pPr>
        <w:pStyle w:val="CelluleTableau"/>
        <w:spacing w:line="240" w:lineRule="auto"/>
        <w:ind w:left="0" w:right="0"/>
      </w:pPr>
    </w:p>
    <w:p w14:paraId="45109428" w14:textId="77777777" w:rsidR="0055604F" w:rsidRPr="00B57729" w:rsidRDefault="0055604F" w:rsidP="00B57729">
      <w:pPr>
        <w:pStyle w:val="CelluleTableau"/>
        <w:spacing w:line="240" w:lineRule="auto"/>
        <w:ind w:left="0" w:right="0"/>
      </w:pPr>
      <w:r w:rsidRPr="00B57729">
        <w:t>Les dispositifs préparatoires de l'ESRP de Lyon offrent une formation et un accompagnement spécialisés pour les personnes visant à renforcer leurs compétences et à s'intégrer efficacement dans le marché du travail ou dans des formations qualifiantes.</w:t>
      </w:r>
    </w:p>
    <w:p w14:paraId="6593987E" w14:textId="77777777" w:rsidR="001244A2" w:rsidRPr="00B57729" w:rsidRDefault="001244A2" w:rsidP="00B57729">
      <w:pPr>
        <w:pStyle w:val="CelluleTableau"/>
        <w:spacing w:line="240" w:lineRule="auto"/>
        <w:ind w:left="0" w:right="0"/>
      </w:pPr>
    </w:p>
    <w:p w14:paraId="6A4E14CE" w14:textId="77777777" w:rsidR="001244A2" w:rsidRPr="00B57729" w:rsidRDefault="001244A2" w:rsidP="00B57729">
      <w:pPr>
        <w:pStyle w:val="CelluleTableau"/>
        <w:spacing w:line="240" w:lineRule="auto"/>
        <w:ind w:left="0" w:right="0"/>
        <w:rPr>
          <w:rFonts w:eastAsia="Calibri" w:cs="Calibri"/>
        </w:rPr>
      </w:pPr>
    </w:p>
    <w:p w14:paraId="28108BE3" w14:textId="00DFF9B6" w:rsidR="0055604F" w:rsidRPr="00B57729" w:rsidRDefault="0055604F" w:rsidP="00B57729">
      <w:pPr>
        <w:pStyle w:val="EnteteTableau"/>
        <w:numPr>
          <w:ilvl w:val="0"/>
          <w:numId w:val="0"/>
        </w:numPr>
        <w:spacing w:before="0" w:after="0"/>
        <w:rPr>
          <w:rFonts w:eastAsia="Calibri" w:cs="Calibri"/>
        </w:rPr>
      </w:pPr>
      <w:r w:rsidRPr="00B57729">
        <w:t>Méthodologie</w:t>
      </w:r>
      <w:r w:rsidR="001244A2" w:rsidRPr="00B57729">
        <w:rPr>
          <w:rFonts w:ascii="Calibri" w:hAnsi="Calibri" w:cs="Calibri"/>
        </w:rPr>
        <w:t> </w:t>
      </w:r>
      <w:r w:rsidR="001244A2" w:rsidRPr="00B57729">
        <w:t>:</w:t>
      </w:r>
    </w:p>
    <w:p w14:paraId="17A5C8BA" w14:textId="77777777" w:rsidR="00B57729" w:rsidRDefault="00B57729" w:rsidP="00B57729">
      <w:pPr>
        <w:pStyle w:val="CelluleTableau"/>
        <w:spacing w:line="240" w:lineRule="auto"/>
        <w:ind w:left="0" w:right="0"/>
      </w:pPr>
    </w:p>
    <w:p w14:paraId="1DD356A3" w14:textId="77777777" w:rsidR="0055604F" w:rsidRPr="00B57729" w:rsidRDefault="0055604F" w:rsidP="00B57729">
      <w:pPr>
        <w:pStyle w:val="CelluleTableau"/>
        <w:spacing w:line="240" w:lineRule="auto"/>
        <w:ind w:left="0" w:right="0"/>
        <w:rPr>
          <w:rFonts w:eastAsia="Calibri" w:cs="Calibri"/>
        </w:rPr>
      </w:pPr>
      <w:r w:rsidRPr="00B57729">
        <w:t>Approche personnalisée basée sur une évaluation initiale des compétences, soutien continu par une équipe pluridisciplinaire, utilisation d'outils adaptés et ajustement du parcours en fonction des progrès du participant.</w:t>
      </w:r>
    </w:p>
    <w:p w14:paraId="4FAF7684" w14:textId="2B7B6F7E" w:rsidR="0055604F" w:rsidRPr="00B57729" w:rsidRDefault="0055604F" w:rsidP="00B57729">
      <w:pPr>
        <w:pStyle w:val="EnteteTableau"/>
        <w:numPr>
          <w:ilvl w:val="0"/>
          <w:numId w:val="0"/>
        </w:numPr>
        <w:spacing w:before="0" w:after="0"/>
        <w:rPr>
          <w:rFonts w:eastAsia="Calibri" w:cs="Calibri"/>
        </w:rPr>
      </w:pPr>
    </w:p>
    <w:p w14:paraId="5742FD89" w14:textId="41199C68" w:rsidR="0055604F" w:rsidRPr="00B57729" w:rsidRDefault="0055604F" w:rsidP="00B57729">
      <w:pPr>
        <w:pStyle w:val="Titre1"/>
        <w:numPr>
          <w:ilvl w:val="0"/>
          <w:numId w:val="0"/>
        </w:numPr>
        <w:spacing w:before="0" w:after="0" w:line="240" w:lineRule="auto"/>
        <w:rPr>
          <w:rFonts w:eastAsia="Calibri" w:cs="Calibri"/>
          <w:szCs w:val="24"/>
        </w:rPr>
      </w:pPr>
      <w:r w:rsidRPr="00B57729">
        <w:rPr>
          <w:szCs w:val="24"/>
        </w:rPr>
        <w:t>DOMAINE</w:t>
      </w:r>
      <w:r w:rsidR="001244A2" w:rsidRPr="00B57729">
        <w:rPr>
          <w:rFonts w:ascii="Calibri" w:hAnsi="Calibri" w:cs="Calibri"/>
          <w:szCs w:val="24"/>
        </w:rPr>
        <w:t> </w:t>
      </w:r>
      <w:r w:rsidR="001244A2" w:rsidRPr="00B57729">
        <w:rPr>
          <w:szCs w:val="24"/>
        </w:rPr>
        <w:t>:</w:t>
      </w:r>
    </w:p>
    <w:p w14:paraId="09009C8B" w14:textId="7FABC532" w:rsidR="0055604F" w:rsidRDefault="0055604F" w:rsidP="00B57729">
      <w:pPr>
        <w:pStyle w:val="CelluleTableau"/>
        <w:spacing w:line="240" w:lineRule="auto"/>
        <w:ind w:left="0" w:right="0"/>
        <w:rPr>
          <w:rFonts w:eastAsia="Calibri" w:cs="Calibri"/>
        </w:rPr>
      </w:pPr>
    </w:p>
    <w:p w14:paraId="4E123AD2" w14:textId="77777777" w:rsidR="00B57729" w:rsidRPr="00B57729" w:rsidRDefault="00B57729" w:rsidP="00B57729">
      <w:pPr>
        <w:pStyle w:val="CelluleTableau"/>
        <w:spacing w:line="240" w:lineRule="auto"/>
        <w:ind w:left="0" w:right="0"/>
        <w:rPr>
          <w:rFonts w:eastAsia="Calibri" w:cs="Calibri"/>
        </w:rPr>
      </w:pPr>
    </w:p>
    <w:p w14:paraId="590DC942" w14:textId="063053A8" w:rsidR="0055604F" w:rsidRPr="00B57729" w:rsidRDefault="0055604F" w:rsidP="00B57729">
      <w:pPr>
        <w:pStyle w:val="EnteteTableau"/>
        <w:numPr>
          <w:ilvl w:val="0"/>
          <w:numId w:val="0"/>
        </w:numPr>
        <w:spacing w:before="0" w:after="0"/>
      </w:pPr>
      <w:r w:rsidRPr="00B57729">
        <w:t>Outils et services de compensation du handicap</w:t>
      </w:r>
      <w:r w:rsidR="001244A2" w:rsidRPr="00B57729">
        <w:rPr>
          <w:rFonts w:ascii="Calibri" w:hAnsi="Calibri" w:cs="Calibri"/>
        </w:rPr>
        <w:t> </w:t>
      </w:r>
      <w:r w:rsidR="001244A2" w:rsidRPr="00B57729">
        <w:t>:</w:t>
      </w:r>
    </w:p>
    <w:p w14:paraId="2C676D6C" w14:textId="77777777" w:rsidR="00B57729" w:rsidRDefault="00B57729" w:rsidP="00B57729">
      <w:pPr>
        <w:pStyle w:val="CelluleTableau"/>
        <w:spacing w:line="240" w:lineRule="auto"/>
        <w:ind w:left="0" w:right="0"/>
      </w:pPr>
    </w:p>
    <w:p w14:paraId="00EEC691" w14:textId="77777777" w:rsidR="0055604F" w:rsidRPr="00B57729" w:rsidRDefault="0055604F" w:rsidP="00B57729">
      <w:pPr>
        <w:pStyle w:val="CelluleTableau"/>
        <w:spacing w:line="240" w:lineRule="auto"/>
        <w:ind w:left="0" w:right="0"/>
      </w:pPr>
      <w:r w:rsidRPr="00B57729">
        <w:t>L'ESRP de Lyon met en place des aménagements personnalisés et offre des services de soutien spécifiques pour compenser les déficiences des participants, facilitant ainsi leur accès à l'éducation et à l'emploi.</w:t>
      </w:r>
    </w:p>
    <w:p w14:paraId="07060D81" w14:textId="77777777" w:rsidR="001244A2" w:rsidRPr="00B57729" w:rsidRDefault="001244A2" w:rsidP="00B57729">
      <w:pPr>
        <w:pStyle w:val="CelluleTableau"/>
        <w:spacing w:line="240" w:lineRule="auto"/>
        <w:ind w:left="0" w:right="0"/>
      </w:pPr>
    </w:p>
    <w:p w14:paraId="62EEC68B" w14:textId="27FB598D" w:rsidR="0055604F" w:rsidRPr="00B57729" w:rsidRDefault="0055604F" w:rsidP="00B57729">
      <w:pPr>
        <w:pStyle w:val="CelluleTableau"/>
        <w:spacing w:line="240" w:lineRule="auto"/>
        <w:ind w:left="0" w:right="0"/>
        <w:rPr>
          <w:rFonts w:eastAsia="Calibri" w:cs="Calibri"/>
        </w:rPr>
      </w:pPr>
    </w:p>
    <w:p w14:paraId="7D439E0E" w14:textId="77777777" w:rsidR="0055604F" w:rsidRPr="00B57729" w:rsidRDefault="0055604F" w:rsidP="00B57729">
      <w:pPr>
        <w:spacing w:after="0" w:line="240" w:lineRule="auto"/>
        <w:ind w:left="0" w:firstLine="0"/>
        <w:rPr>
          <w:rFonts w:eastAsia="Calibri" w:cs="Calibri"/>
          <w:color w:val="auto"/>
        </w:rPr>
      </w:pPr>
    </w:p>
    <w:p w14:paraId="26137DF1" w14:textId="5914F237" w:rsidR="0055604F" w:rsidRPr="00B57729" w:rsidRDefault="0055604F" w:rsidP="00B57729">
      <w:pPr>
        <w:pStyle w:val="Titre1"/>
        <w:numPr>
          <w:ilvl w:val="0"/>
          <w:numId w:val="0"/>
        </w:numPr>
        <w:spacing w:before="0" w:after="0" w:line="240" w:lineRule="auto"/>
        <w:rPr>
          <w:szCs w:val="24"/>
        </w:rPr>
      </w:pPr>
      <w:r w:rsidRPr="00B57729">
        <w:rPr>
          <w:szCs w:val="24"/>
        </w:rPr>
        <w:lastRenderedPageBreak/>
        <w:t>PRODUITS / RÉSULTATS</w:t>
      </w:r>
      <w:r w:rsidR="001244A2" w:rsidRPr="00B57729">
        <w:rPr>
          <w:rFonts w:ascii="Calibri" w:hAnsi="Calibri" w:cs="Calibri"/>
          <w:szCs w:val="24"/>
        </w:rPr>
        <w:t> </w:t>
      </w:r>
      <w:r w:rsidR="001244A2" w:rsidRPr="00B57729">
        <w:rPr>
          <w:szCs w:val="24"/>
        </w:rPr>
        <w:t>:</w:t>
      </w:r>
    </w:p>
    <w:p w14:paraId="16DD87A0" w14:textId="77777777" w:rsidR="00B57729" w:rsidRDefault="00B57729" w:rsidP="00B57729">
      <w:pPr>
        <w:pStyle w:val="EnteteTableau"/>
        <w:numPr>
          <w:ilvl w:val="0"/>
          <w:numId w:val="0"/>
        </w:numPr>
        <w:spacing w:before="0" w:after="0"/>
      </w:pPr>
    </w:p>
    <w:p w14:paraId="4BA8D23A" w14:textId="77777777" w:rsidR="00B57729" w:rsidRDefault="00B57729" w:rsidP="00B57729">
      <w:pPr>
        <w:pStyle w:val="EnteteTableau"/>
        <w:numPr>
          <w:ilvl w:val="0"/>
          <w:numId w:val="0"/>
        </w:numPr>
        <w:spacing w:before="0" w:after="0"/>
      </w:pPr>
    </w:p>
    <w:p w14:paraId="54D34DF5" w14:textId="0B559034" w:rsidR="0055604F" w:rsidRPr="00B57729" w:rsidRDefault="0055604F" w:rsidP="00B57729">
      <w:pPr>
        <w:pStyle w:val="EnteteTableau"/>
        <w:numPr>
          <w:ilvl w:val="0"/>
          <w:numId w:val="0"/>
        </w:numPr>
        <w:spacing w:before="0" w:after="0"/>
        <w:rPr>
          <w:rFonts w:eastAsia="Calibri" w:cs="Calibri"/>
        </w:rPr>
      </w:pPr>
      <w:r w:rsidRPr="00B57729">
        <w:t>Type de produit</w:t>
      </w:r>
      <w:r w:rsidR="001244A2" w:rsidRPr="00B57729">
        <w:rPr>
          <w:rFonts w:ascii="Calibri" w:hAnsi="Calibri" w:cs="Calibri"/>
        </w:rPr>
        <w:t> </w:t>
      </w:r>
      <w:r w:rsidR="001244A2" w:rsidRPr="00B57729">
        <w:t>:</w:t>
      </w:r>
    </w:p>
    <w:p w14:paraId="2695D164" w14:textId="77777777" w:rsidR="00B57729" w:rsidRDefault="00B57729" w:rsidP="00B57729">
      <w:pPr>
        <w:pStyle w:val="CelluleTableau"/>
        <w:spacing w:line="240" w:lineRule="auto"/>
        <w:ind w:left="0" w:right="0"/>
      </w:pPr>
    </w:p>
    <w:p w14:paraId="49628DD0" w14:textId="77777777" w:rsidR="0055604F" w:rsidRPr="00B57729" w:rsidRDefault="0055604F" w:rsidP="00B57729">
      <w:pPr>
        <w:pStyle w:val="CelluleTableau"/>
        <w:spacing w:line="240" w:lineRule="auto"/>
        <w:ind w:left="0" w:right="0"/>
      </w:pPr>
      <w:r w:rsidRPr="00B57729">
        <w:t>Cours/formation, soutien personnalisé, adaptation des environnements de formation.</w:t>
      </w:r>
    </w:p>
    <w:p w14:paraId="6C89D183" w14:textId="77777777" w:rsidR="001244A2" w:rsidRPr="00B57729" w:rsidRDefault="001244A2" w:rsidP="00B57729">
      <w:pPr>
        <w:pStyle w:val="CelluleTableau"/>
        <w:spacing w:line="240" w:lineRule="auto"/>
        <w:ind w:left="0" w:right="0"/>
      </w:pPr>
    </w:p>
    <w:p w14:paraId="7E377863" w14:textId="77777777" w:rsidR="001244A2" w:rsidRPr="00B57729" w:rsidRDefault="001244A2" w:rsidP="00B57729">
      <w:pPr>
        <w:pStyle w:val="CelluleTableau"/>
        <w:spacing w:line="240" w:lineRule="auto"/>
        <w:ind w:left="0" w:right="0"/>
        <w:rPr>
          <w:rFonts w:eastAsia="Calibri" w:cs="Calibri"/>
        </w:rPr>
      </w:pPr>
    </w:p>
    <w:p w14:paraId="64E74E49" w14:textId="2816DC07" w:rsidR="0055604F" w:rsidRPr="00B57729" w:rsidRDefault="0055604F" w:rsidP="00B57729">
      <w:pPr>
        <w:pStyle w:val="EnteteTableau"/>
        <w:numPr>
          <w:ilvl w:val="0"/>
          <w:numId w:val="0"/>
        </w:numPr>
        <w:spacing w:before="0" w:after="0"/>
        <w:rPr>
          <w:rFonts w:eastAsia="Calibri" w:cs="Calibri"/>
        </w:rPr>
      </w:pPr>
      <w:r w:rsidRPr="00B57729">
        <w:t>Brève description</w:t>
      </w:r>
      <w:r w:rsidR="001244A2" w:rsidRPr="00B57729">
        <w:rPr>
          <w:rFonts w:ascii="Calibri" w:hAnsi="Calibri" w:cs="Calibri"/>
        </w:rPr>
        <w:t> </w:t>
      </w:r>
      <w:r w:rsidR="001244A2" w:rsidRPr="00B57729">
        <w:t>:</w:t>
      </w:r>
    </w:p>
    <w:p w14:paraId="5C8EA665" w14:textId="77777777" w:rsidR="00B57729" w:rsidRDefault="00B57729" w:rsidP="00B57729">
      <w:pPr>
        <w:pStyle w:val="CelluleTableau"/>
        <w:spacing w:line="240" w:lineRule="auto"/>
        <w:ind w:left="0" w:right="0"/>
      </w:pPr>
    </w:p>
    <w:p w14:paraId="1003D0D0" w14:textId="77777777" w:rsidR="001244A2" w:rsidRPr="00B57729" w:rsidRDefault="0055604F" w:rsidP="00B57729">
      <w:pPr>
        <w:pStyle w:val="CelluleTableau"/>
        <w:spacing w:line="240" w:lineRule="auto"/>
        <w:ind w:left="0" w:right="0"/>
      </w:pPr>
      <w:r w:rsidRPr="00B57729">
        <w:t>Mise</w:t>
      </w:r>
      <w:r w:rsidR="00D95A34" w:rsidRPr="00B57729">
        <w:t xml:space="preserve"> </w:t>
      </w:r>
      <w:r w:rsidRPr="00B57729">
        <w:t>en</w:t>
      </w:r>
      <w:r w:rsidR="00D95A34" w:rsidRPr="00B57729">
        <w:t xml:space="preserve"> </w:t>
      </w:r>
      <w:r w:rsidRPr="00B57729">
        <w:t>œuvre</w:t>
      </w:r>
      <w:r w:rsidR="00D95A34" w:rsidRPr="00B57729">
        <w:t xml:space="preserve"> </w:t>
      </w:r>
      <w:r w:rsidRPr="00B57729">
        <w:t>de</w:t>
      </w:r>
      <w:r w:rsidR="00D95A34" w:rsidRPr="00B57729">
        <w:t xml:space="preserve"> </w:t>
      </w:r>
      <w:r w:rsidRPr="00B57729">
        <w:t>programmes</w:t>
      </w:r>
      <w:r w:rsidR="00D95A34" w:rsidRPr="00B57729">
        <w:t xml:space="preserve"> </w:t>
      </w:r>
      <w:r w:rsidRPr="00B57729">
        <w:t>éducatifs</w:t>
      </w:r>
      <w:r w:rsidRPr="00B57729">
        <w:tab/>
        <w:t>spécialisés</w:t>
      </w:r>
      <w:r w:rsidR="00D95A34" w:rsidRPr="00B57729">
        <w:t xml:space="preserve"> </w:t>
      </w:r>
      <w:r w:rsidRPr="00B57729">
        <w:t>avec</w:t>
      </w:r>
      <w:r w:rsidR="00D95A34" w:rsidRPr="00B57729">
        <w:t xml:space="preserve"> </w:t>
      </w:r>
      <w:r w:rsidRPr="00B57729">
        <w:t>des</w:t>
      </w:r>
      <w:r w:rsidR="00D95A34" w:rsidRPr="00B57729">
        <w:t xml:space="preserve"> </w:t>
      </w:r>
      <w:r w:rsidRPr="00B57729">
        <w:t xml:space="preserve">aménagements pour l'accessibilité et le soutien, permettant une meilleure intégration professionnelle des personnes en situation de handicap. Les conditions d'accessibilité comprennent des évaluations individualisées pour déterminer les besoins spécifiques en matière de soutien et d'aménagement, des aménagements personnalisés tels que des équipements spécialisés, des logiciels de lecture d'écran, et des aides physiques dans les infrastructures, ainsi que l'accessibilité physique des locaux avec des installations sans obstacles et des équipements adaptés pour tous les participants. </w:t>
      </w:r>
    </w:p>
    <w:p w14:paraId="107E661E" w14:textId="77777777" w:rsidR="001244A2" w:rsidRPr="00B57729" w:rsidRDefault="001244A2" w:rsidP="00B57729">
      <w:pPr>
        <w:pStyle w:val="CelluleTableau"/>
        <w:spacing w:line="240" w:lineRule="auto"/>
        <w:ind w:left="0" w:right="0"/>
      </w:pPr>
    </w:p>
    <w:p w14:paraId="5C205341" w14:textId="77777777" w:rsidR="001244A2" w:rsidRPr="00B57729" w:rsidRDefault="001244A2" w:rsidP="00B57729">
      <w:pPr>
        <w:pStyle w:val="CelluleTableau"/>
        <w:spacing w:line="240" w:lineRule="auto"/>
        <w:ind w:left="0" w:right="0"/>
      </w:pPr>
    </w:p>
    <w:p w14:paraId="2C9F4791" w14:textId="7D6E6DFC" w:rsidR="0055604F" w:rsidRPr="00B57729" w:rsidRDefault="0055604F" w:rsidP="00B57729">
      <w:pPr>
        <w:pStyle w:val="CelluleTableau"/>
        <w:spacing w:line="240" w:lineRule="auto"/>
        <w:ind w:left="0" w:right="0"/>
      </w:pPr>
      <w:r w:rsidRPr="00B57729">
        <w:t>Les aides financières comprennent l'Allocation aux Adultes Handicapés (AAH) pour garantir un revenu minimum, la Prestation de Compensation du Handicap (PCH) couvrant les aides techniques et les aménagements nécessaires, le Fonds pour l'Insertion des Personnes Handicapées dans la Fonction Publique (FIPHFP) et d'autres subventions locales pour financer les adaptations et les frais de formation, ainsi que l'appui de l'Association de Gestion du Fonds pour l'Insertion Professionnelle des Personnes Handicapées (AGEFIPH) pour faciliter l'accès aux entreprises du secteur privé.</w:t>
      </w:r>
    </w:p>
    <w:p w14:paraId="5F26D3F5" w14:textId="77777777" w:rsidR="001244A2" w:rsidRPr="00B57729" w:rsidRDefault="001244A2" w:rsidP="00B57729">
      <w:pPr>
        <w:pStyle w:val="CelluleTableau"/>
        <w:spacing w:line="240" w:lineRule="auto"/>
        <w:ind w:left="0" w:right="0"/>
      </w:pPr>
    </w:p>
    <w:p w14:paraId="6F9E34B2" w14:textId="1B695595" w:rsidR="00B57729" w:rsidRDefault="00B57729">
      <w:pPr>
        <w:spacing w:after="160" w:line="259" w:lineRule="auto"/>
        <w:ind w:left="0" w:firstLine="0"/>
        <w:rPr>
          <w:rFonts w:eastAsia="Calibri" w:cs="Calibri"/>
        </w:rPr>
      </w:pPr>
      <w:r>
        <w:rPr>
          <w:rFonts w:eastAsia="Calibri" w:cs="Calibri"/>
        </w:rPr>
        <w:br w:type="page"/>
      </w:r>
    </w:p>
    <w:p w14:paraId="75895698" w14:textId="12E37E10" w:rsidR="0055604F" w:rsidRPr="00B57729" w:rsidRDefault="0055604F" w:rsidP="00B57729">
      <w:pPr>
        <w:pStyle w:val="Titre1"/>
        <w:numPr>
          <w:ilvl w:val="0"/>
          <w:numId w:val="0"/>
        </w:numPr>
        <w:spacing w:before="0" w:after="0" w:line="240" w:lineRule="auto"/>
        <w:rPr>
          <w:szCs w:val="24"/>
        </w:rPr>
      </w:pPr>
      <w:r w:rsidRPr="00B57729">
        <w:rPr>
          <w:szCs w:val="24"/>
        </w:rPr>
        <w:lastRenderedPageBreak/>
        <w:t>IMPACT ET TRANSFÉRABILITÉ</w:t>
      </w:r>
      <w:r w:rsidR="001244A2" w:rsidRPr="00B57729">
        <w:rPr>
          <w:rFonts w:ascii="Calibri" w:hAnsi="Calibri" w:cs="Calibri"/>
          <w:szCs w:val="24"/>
        </w:rPr>
        <w:t> </w:t>
      </w:r>
      <w:r w:rsidR="001244A2" w:rsidRPr="00B57729">
        <w:rPr>
          <w:szCs w:val="24"/>
        </w:rPr>
        <w:t>:</w:t>
      </w:r>
    </w:p>
    <w:p w14:paraId="67924BF4" w14:textId="77777777" w:rsidR="00B57729" w:rsidRDefault="00B57729" w:rsidP="00B57729">
      <w:pPr>
        <w:pStyle w:val="EnteteTableau"/>
        <w:numPr>
          <w:ilvl w:val="0"/>
          <w:numId w:val="0"/>
        </w:numPr>
        <w:spacing w:before="0" w:after="0"/>
      </w:pPr>
    </w:p>
    <w:p w14:paraId="7278B29E" w14:textId="77777777" w:rsidR="00B57729" w:rsidRDefault="00B57729" w:rsidP="00B57729">
      <w:pPr>
        <w:pStyle w:val="EnteteTableau"/>
        <w:numPr>
          <w:ilvl w:val="0"/>
          <w:numId w:val="0"/>
        </w:numPr>
        <w:spacing w:before="0" w:after="0"/>
      </w:pPr>
    </w:p>
    <w:p w14:paraId="30CC0C04" w14:textId="7994788A" w:rsidR="0055604F" w:rsidRPr="00B57729" w:rsidRDefault="0055604F" w:rsidP="00B57729">
      <w:pPr>
        <w:pStyle w:val="EnteteTableau"/>
        <w:numPr>
          <w:ilvl w:val="0"/>
          <w:numId w:val="0"/>
        </w:numPr>
        <w:spacing w:before="0" w:after="0"/>
        <w:rPr>
          <w:rFonts w:eastAsia="Calibri" w:cs="Calibri"/>
        </w:rPr>
      </w:pPr>
      <w:r w:rsidRPr="00B57729">
        <w:t>Impact sur les groupes cibles</w:t>
      </w:r>
      <w:r w:rsidR="001244A2" w:rsidRPr="00B57729">
        <w:rPr>
          <w:rFonts w:ascii="Calibri" w:hAnsi="Calibri" w:cs="Calibri"/>
        </w:rPr>
        <w:t> </w:t>
      </w:r>
      <w:r w:rsidR="001244A2" w:rsidRPr="00B57729">
        <w:t>:</w:t>
      </w:r>
    </w:p>
    <w:p w14:paraId="3E8DCC22" w14:textId="77777777" w:rsidR="00B57729" w:rsidRDefault="00B57729" w:rsidP="00B57729">
      <w:pPr>
        <w:pStyle w:val="CelluleTableau"/>
        <w:spacing w:line="240" w:lineRule="auto"/>
        <w:ind w:left="0" w:right="0"/>
      </w:pPr>
    </w:p>
    <w:p w14:paraId="1EF5C69A" w14:textId="77777777" w:rsidR="0055604F" w:rsidRPr="00B57729" w:rsidRDefault="0055604F" w:rsidP="00B57729">
      <w:pPr>
        <w:pStyle w:val="CelluleTableau"/>
        <w:spacing w:line="240" w:lineRule="auto"/>
        <w:ind w:left="0" w:right="0"/>
      </w:pPr>
      <w:bookmarkStart w:id="1" w:name="_GoBack"/>
      <w:bookmarkEnd w:id="1"/>
      <w:r w:rsidRPr="00B57729">
        <w:t>Amélioration significative de l'accès à l'éducation et à l'emploi pour les personnes en situation de handicap, grâce à un soutien ciblé et des ressources adaptées.</w:t>
      </w:r>
    </w:p>
    <w:p w14:paraId="4FE14DE7" w14:textId="77777777" w:rsidR="001244A2" w:rsidRPr="00B57729" w:rsidRDefault="001244A2" w:rsidP="00B57729">
      <w:pPr>
        <w:pStyle w:val="CelluleTableau"/>
        <w:spacing w:line="240" w:lineRule="auto"/>
        <w:ind w:left="0" w:right="0"/>
      </w:pPr>
    </w:p>
    <w:p w14:paraId="117675DB" w14:textId="77777777" w:rsidR="001244A2" w:rsidRPr="00B57729" w:rsidRDefault="001244A2" w:rsidP="00B57729">
      <w:pPr>
        <w:pStyle w:val="CelluleTableau"/>
        <w:spacing w:line="240" w:lineRule="auto"/>
        <w:ind w:left="0" w:right="0"/>
        <w:rPr>
          <w:rFonts w:eastAsia="Calibri" w:cs="Calibri"/>
        </w:rPr>
      </w:pPr>
    </w:p>
    <w:p w14:paraId="55D0D0EB" w14:textId="32846FC3" w:rsidR="0055604F" w:rsidRPr="00B57729" w:rsidRDefault="0055604F" w:rsidP="00B57729">
      <w:pPr>
        <w:pStyle w:val="EnteteTableau"/>
        <w:numPr>
          <w:ilvl w:val="0"/>
          <w:numId w:val="0"/>
        </w:numPr>
        <w:spacing w:before="0" w:after="0"/>
        <w:rPr>
          <w:rFonts w:eastAsia="Calibri" w:cs="Calibri"/>
        </w:rPr>
      </w:pPr>
      <w:r w:rsidRPr="00B57729">
        <w:t>Brève description</w:t>
      </w:r>
      <w:r w:rsidR="001244A2" w:rsidRPr="00B57729">
        <w:rPr>
          <w:rFonts w:ascii="Calibri" w:hAnsi="Calibri" w:cs="Calibri"/>
        </w:rPr>
        <w:t> </w:t>
      </w:r>
      <w:r w:rsidR="001244A2" w:rsidRPr="00B57729">
        <w:t>:</w:t>
      </w:r>
    </w:p>
    <w:p w14:paraId="5DAFDBBD" w14:textId="77777777" w:rsidR="00B57729" w:rsidRDefault="00B57729" w:rsidP="00B57729">
      <w:pPr>
        <w:pStyle w:val="CelluleTableau"/>
        <w:spacing w:line="240" w:lineRule="auto"/>
        <w:ind w:left="0" w:right="0"/>
      </w:pPr>
    </w:p>
    <w:p w14:paraId="46EBB272" w14:textId="77777777" w:rsidR="0055604F" w:rsidRPr="00B57729" w:rsidRDefault="0055604F" w:rsidP="00B57729">
      <w:pPr>
        <w:pStyle w:val="CelluleTableau"/>
        <w:spacing w:line="240" w:lineRule="auto"/>
        <w:ind w:left="0" w:right="0"/>
        <w:rPr>
          <w:rFonts w:eastAsia="Calibri" w:cs="Calibri"/>
        </w:rPr>
      </w:pPr>
      <w:r w:rsidRPr="00B57729">
        <w:t>La pratique est modulable et peut être adaptée à différents contextes ou régions, permettant une mise en œuvre flexible selon les besoins locaux et les ressources disponibles.</w:t>
      </w:r>
      <w:bookmarkEnd w:id="0"/>
    </w:p>
    <w:sectPr w:rsidR="0055604F" w:rsidRPr="00B57729"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D7149" w14:textId="77777777" w:rsidR="00F21580" w:rsidRDefault="00F21580" w:rsidP="008D2C54">
      <w:r>
        <w:separator/>
      </w:r>
    </w:p>
  </w:endnote>
  <w:endnote w:type="continuationSeparator" w:id="0">
    <w:p w14:paraId="1BA2855B" w14:textId="77777777" w:rsidR="00F21580" w:rsidRDefault="00F21580"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F4E5FCE3-249A-46A0-9164-FD958E9ACD98}"/>
    <w:embedBold r:id="rId2" w:fontKey="{B297A97E-4D72-4CCF-A1C3-F096931850AA}"/>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F661A3AD-DD32-4E18-927B-005ADDF68BB1}"/>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28572B8" w14:textId="77777777" w:rsidR="001C06E4" w:rsidRDefault="001C06E4">
        <w:pPr>
          <w:pStyle w:val="Pieddepage"/>
          <w:jc w:val="right"/>
        </w:pPr>
        <w:r>
          <w:fldChar w:fldCharType="begin"/>
        </w:r>
        <w:r>
          <w:instrText>PAGE   \* MERGEFORMAT</w:instrText>
        </w:r>
        <w:r>
          <w:fldChar w:fldCharType="separate"/>
        </w:r>
        <w:r w:rsidR="00B57729">
          <w:rPr>
            <w:noProof/>
          </w:rPr>
          <w:t>4</w:t>
        </w:r>
        <w:r>
          <w:fldChar w:fldCharType="end"/>
        </w:r>
      </w:p>
    </w:sdtContent>
  </w:sdt>
  <w:p w14:paraId="448EBA96"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03D7" w14:textId="77777777" w:rsidR="00F21580" w:rsidRDefault="00F21580" w:rsidP="008D2C54">
      <w:r>
        <w:separator/>
      </w:r>
    </w:p>
  </w:footnote>
  <w:footnote w:type="continuationSeparator" w:id="0">
    <w:p w14:paraId="27C233B8" w14:textId="77777777" w:rsidR="00F21580" w:rsidRDefault="00F21580"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15A5" w14:textId="77777777" w:rsidR="008D2C54" w:rsidRDefault="00F8340D" w:rsidP="00B57729">
    <w:pPr>
      <w:pStyle w:val="En-tte"/>
      <w:ind w:left="0" w:firstLine="0"/>
    </w:pPr>
    <w:r>
      <w:rPr>
        <w:noProof/>
        <w:lang w:val="fr-BE" w:eastAsia="fr-BE"/>
      </w:rPr>
      <w:drawing>
        <wp:anchor distT="0" distB="0" distL="114300" distR="114300" simplePos="0" relativeHeight="251659264" behindDoc="0" locked="0" layoutInCell="1" allowOverlap="1" wp14:anchorId="1623A8FC" wp14:editId="71168131">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0767371B" wp14:editId="1DB9B57E">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1"/>
  </w:num>
  <w:num w:numId="4">
    <w:abstractNumId w:val="24"/>
  </w:num>
  <w:num w:numId="5">
    <w:abstractNumId w:val="2"/>
  </w:num>
  <w:num w:numId="6">
    <w:abstractNumId w:val="3"/>
  </w:num>
  <w:num w:numId="7">
    <w:abstractNumId w:val="21"/>
  </w:num>
  <w:num w:numId="8">
    <w:abstractNumId w:val="25"/>
  </w:num>
  <w:num w:numId="9">
    <w:abstractNumId w:val="6"/>
  </w:num>
  <w:num w:numId="10">
    <w:abstractNumId w:val="18"/>
  </w:num>
  <w:num w:numId="11">
    <w:abstractNumId w:val="20"/>
  </w:num>
  <w:num w:numId="12">
    <w:abstractNumId w:val="7"/>
  </w:num>
  <w:num w:numId="13">
    <w:abstractNumId w:val="1"/>
  </w:num>
  <w:num w:numId="14">
    <w:abstractNumId w:val="26"/>
  </w:num>
  <w:num w:numId="15">
    <w:abstractNumId w:val="10"/>
  </w:num>
  <w:num w:numId="16">
    <w:abstractNumId w:val="0"/>
  </w:num>
  <w:num w:numId="17">
    <w:abstractNumId w:val="16"/>
  </w:num>
  <w:num w:numId="18">
    <w:abstractNumId w:val="22"/>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4F"/>
    <w:rsid w:val="001244A2"/>
    <w:rsid w:val="00125850"/>
    <w:rsid w:val="00176A32"/>
    <w:rsid w:val="001C06E4"/>
    <w:rsid w:val="002052FF"/>
    <w:rsid w:val="00295C02"/>
    <w:rsid w:val="002E1F33"/>
    <w:rsid w:val="002F109E"/>
    <w:rsid w:val="003058F9"/>
    <w:rsid w:val="00344B35"/>
    <w:rsid w:val="00357120"/>
    <w:rsid w:val="003748C3"/>
    <w:rsid w:val="003C5E8C"/>
    <w:rsid w:val="003E67EF"/>
    <w:rsid w:val="00435290"/>
    <w:rsid w:val="0043677B"/>
    <w:rsid w:val="0049728F"/>
    <w:rsid w:val="004B742E"/>
    <w:rsid w:val="004C45B6"/>
    <w:rsid w:val="004F69D1"/>
    <w:rsid w:val="005232EE"/>
    <w:rsid w:val="00533A90"/>
    <w:rsid w:val="0055604F"/>
    <w:rsid w:val="005630BC"/>
    <w:rsid w:val="005B47C7"/>
    <w:rsid w:val="006C2583"/>
    <w:rsid w:val="006C5B7A"/>
    <w:rsid w:val="006D53CC"/>
    <w:rsid w:val="00714AE0"/>
    <w:rsid w:val="00777167"/>
    <w:rsid w:val="007A1FBB"/>
    <w:rsid w:val="007D6C46"/>
    <w:rsid w:val="008657EB"/>
    <w:rsid w:val="00872649"/>
    <w:rsid w:val="00875269"/>
    <w:rsid w:val="008B2213"/>
    <w:rsid w:val="008D2C54"/>
    <w:rsid w:val="008D7634"/>
    <w:rsid w:val="00967BB0"/>
    <w:rsid w:val="009C019E"/>
    <w:rsid w:val="009E18D8"/>
    <w:rsid w:val="00A26B77"/>
    <w:rsid w:val="00A768BD"/>
    <w:rsid w:val="00AE07A3"/>
    <w:rsid w:val="00AF5BF2"/>
    <w:rsid w:val="00B57729"/>
    <w:rsid w:val="00B93ED7"/>
    <w:rsid w:val="00B97622"/>
    <w:rsid w:val="00C13CAA"/>
    <w:rsid w:val="00C71736"/>
    <w:rsid w:val="00C72994"/>
    <w:rsid w:val="00C976F9"/>
    <w:rsid w:val="00CD5283"/>
    <w:rsid w:val="00CE6F36"/>
    <w:rsid w:val="00D3319D"/>
    <w:rsid w:val="00D41596"/>
    <w:rsid w:val="00D82191"/>
    <w:rsid w:val="00D93F3C"/>
    <w:rsid w:val="00D95A34"/>
    <w:rsid w:val="00E936A3"/>
    <w:rsid w:val="00EB7752"/>
    <w:rsid w:val="00ED1093"/>
    <w:rsid w:val="00ED3DDF"/>
    <w:rsid w:val="00F07106"/>
    <w:rsid w:val="00F21580"/>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C3C31"/>
  <w15:chartTrackingRefBased/>
  <w15:docId w15:val="{8249AE52-869C-4D6D-A2C9-46FA514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9D"/>
    <w:pPr>
      <w:spacing w:after="132" w:line="464" w:lineRule="auto"/>
      <w:ind w:left="197" w:firstLine="766"/>
    </w:pPr>
    <w:rPr>
      <w:rFonts w:ascii="Luciole" w:eastAsia="Arial" w:hAnsi="Luciole" w:cs="Arial"/>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D95A34"/>
    <w:pPr>
      <w:spacing w:after="0" w:line="259" w:lineRule="auto"/>
      <w:ind w:left="708" w:right="709" w:firstLine="0"/>
    </w:pPr>
    <w:rPr>
      <w:rFonts w:eastAsia="Times New Roman" w:cs="Times New Roman"/>
    </w:rPr>
  </w:style>
  <w:style w:type="character" w:customStyle="1" w:styleId="CelluleTableauCar">
    <w:name w:val="Cellule_Tableau Car"/>
    <w:basedOn w:val="Policepardfaut"/>
    <w:link w:val="CelluleTableau"/>
    <w:rsid w:val="00D95A34"/>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act@esrp-ly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F58B-2956-4F42-B48D-0E14E1BE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24</TotalTime>
  <Pages>4</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2024-12-23T18:14:00Z</dcterms:created>
  <dcterms:modified xsi:type="dcterms:W3CDTF">2024-12-30T17:50:00Z</dcterms:modified>
</cp:coreProperties>
</file>