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C4C5C" w14:textId="7A7CEBE9" w:rsidR="000854E9" w:rsidRPr="003700C5" w:rsidRDefault="00F663E2" w:rsidP="003700C5">
      <w:pPr>
        <w:pStyle w:val="TitreDocument"/>
        <w:spacing w:before="0" w:after="0" w:line="240" w:lineRule="auto"/>
        <w:ind w:left="0"/>
        <w:rPr>
          <w:rFonts w:eastAsia="Calibri" w:cs="Calibri"/>
          <w:b/>
          <w:sz w:val="24"/>
          <w:szCs w:val="24"/>
        </w:rPr>
      </w:pPr>
      <w:r w:rsidRPr="003700C5">
        <w:rPr>
          <w:szCs w:val="24"/>
        </w:rPr>
        <w:t>E</w:t>
      </w:r>
      <w:r w:rsidR="000854E9" w:rsidRPr="003700C5">
        <w:rPr>
          <w:szCs w:val="24"/>
        </w:rPr>
        <w:t>-HANDI TOUR GUIDE DE L’INCLUSION INNOVANTE DES PSDH</w:t>
      </w:r>
    </w:p>
    <w:p w14:paraId="2C8176C6" w14:textId="77777777" w:rsidR="003700C5" w:rsidRDefault="003700C5" w:rsidP="003700C5">
      <w:pPr>
        <w:pStyle w:val="NormalWeb"/>
        <w:spacing w:before="0" w:beforeAutospacing="0" w:after="0" w:afterAutospacing="0"/>
        <w:jc w:val="center"/>
        <w:rPr>
          <w:rFonts w:ascii="Luciole" w:hAnsi="Luciole" w:cs="Calibri"/>
          <w:b/>
          <w:bCs/>
          <w:color w:val="000000"/>
        </w:rPr>
      </w:pPr>
    </w:p>
    <w:p w14:paraId="2039F90C" w14:textId="77777777" w:rsidR="001076C6" w:rsidRPr="003700C5" w:rsidRDefault="00990A92" w:rsidP="003700C5">
      <w:pPr>
        <w:pStyle w:val="NormalWeb"/>
        <w:spacing w:before="0" w:beforeAutospacing="0" w:after="0" w:afterAutospacing="0"/>
        <w:jc w:val="center"/>
        <w:rPr>
          <w:rFonts w:ascii="Luciole" w:hAnsi="Luciole" w:cs="Calibri"/>
          <w:b/>
          <w:bCs/>
          <w:color w:val="000000"/>
        </w:rPr>
      </w:pPr>
      <w:r w:rsidRPr="003700C5">
        <w:rPr>
          <w:rFonts w:ascii="Luciole" w:hAnsi="Luciole" w:cs="Calibri"/>
          <w:b/>
          <w:bCs/>
          <w:color w:val="000000"/>
        </w:rPr>
        <w:t>IDENTIFICATION</w:t>
      </w:r>
    </w:p>
    <w:p w14:paraId="7DB658AD" w14:textId="77777777" w:rsidR="003700C5" w:rsidRDefault="003700C5" w:rsidP="003700C5">
      <w:pPr>
        <w:pStyle w:val="NormalWeb"/>
        <w:spacing w:before="0" w:beforeAutospacing="0" w:after="0" w:afterAutospacing="0"/>
        <w:rPr>
          <w:rFonts w:ascii="Luciole" w:hAnsi="Luciole" w:cs="Calibri"/>
          <w:b/>
          <w:bCs/>
          <w:color w:val="000000"/>
        </w:rPr>
      </w:pPr>
    </w:p>
    <w:p w14:paraId="5774E161"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br/>
        <w:t>Titre de la pratique exemplaire :</w:t>
      </w:r>
      <w:r w:rsidRPr="003700C5">
        <w:rPr>
          <w:rFonts w:ascii="Luciole" w:hAnsi="Luciole" w:cs="Calibri"/>
          <w:b/>
          <w:bCs/>
          <w:color w:val="000000"/>
        </w:rPr>
        <w:br/>
      </w:r>
    </w:p>
    <w:p w14:paraId="440F7986" w14:textId="39F71BE2" w:rsidR="00990A92" w:rsidRPr="003700C5" w:rsidRDefault="00990A92" w:rsidP="003700C5">
      <w:pPr>
        <w:pStyle w:val="NormalWeb"/>
        <w:spacing w:before="0" w:beforeAutospacing="0" w:after="0" w:afterAutospacing="0"/>
        <w:rPr>
          <w:rFonts w:ascii="Luciole" w:hAnsi="Luciole"/>
        </w:rPr>
      </w:pPr>
      <w:r w:rsidRPr="003700C5">
        <w:rPr>
          <w:rFonts w:ascii="Luciole" w:hAnsi="Luciole" w:cs="Calibri"/>
          <w:color w:val="000000"/>
        </w:rPr>
        <w:t>Guide Pratique du Handicap en Entreprise</w:t>
      </w:r>
    </w:p>
    <w:p w14:paraId="57F5782E" w14:textId="77777777" w:rsidR="003700C5" w:rsidRDefault="003700C5" w:rsidP="003700C5">
      <w:pPr>
        <w:pStyle w:val="NormalWeb"/>
        <w:spacing w:before="0" w:beforeAutospacing="0" w:after="0" w:afterAutospacing="0"/>
        <w:rPr>
          <w:rFonts w:ascii="Luciole" w:hAnsi="Luciole" w:cs="Calibri"/>
          <w:b/>
          <w:bCs/>
          <w:color w:val="000000"/>
        </w:rPr>
      </w:pPr>
    </w:p>
    <w:p w14:paraId="7F1056B2"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Promoteur de l'initiative :</w:t>
      </w:r>
      <w:r w:rsidRPr="003700C5">
        <w:rPr>
          <w:rFonts w:ascii="Luciole" w:hAnsi="Luciole" w:cs="Calibri"/>
          <w:b/>
          <w:bCs/>
          <w:color w:val="000000"/>
        </w:rPr>
        <w:br/>
      </w:r>
    </w:p>
    <w:p w14:paraId="20B5D090" w14:textId="30DAF0A3" w:rsidR="00990A92" w:rsidRPr="003700C5" w:rsidRDefault="00990A92" w:rsidP="003700C5">
      <w:pPr>
        <w:pStyle w:val="NormalWeb"/>
        <w:spacing w:before="0" w:beforeAutospacing="0" w:after="0" w:afterAutospacing="0"/>
        <w:rPr>
          <w:rFonts w:ascii="Luciole" w:hAnsi="Luciole"/>
        </w:rPr>
      </w:pPr>
      <w:r w:rsidRPr="003700C5">
        <w:rPr>
          <w:rFonts w:ascii="Luciole" w:hAnsi="Luciole" w:cs="Calibri"/>
          <w:color w:val="000000"/>
        </w:rPr>
        <w:t>IMS Luxembourg</w:t>
      </w:r>
    </w:p>
    <w:p w14:paraId="5A4E6E5C" w14:textId="77777777" w:rsidR="003700C5" w:rsidRDefault="003700C5" w:rsidP="003700C5">
      <w:pPr>
        <w:pStyle w:val="NormalWeb"/>
        <w:spacing w:before="0" w:beforeAutospacing="0" w:after="0" w:afterAutospacing="0"/>
        <w:rPr>
          <w:rFonts w:ascii="Luciole" w:hAnsi="Luciole" w:cs="Calibri"/>
          <w:b/>
          <w:bCs/>
          <w:color w:val="000000"/>
        </w:rPr>
      </w:pPr>
    </w:p>
    <w:p w14:paraId="0DECB4C3" w14:textId="77777777" w:rsidR="003700C5" w:rsidRDefault="00990A92" w:rsidP="003700C5">
      <w:pPr>
        <w:pStyle w:val="NormalWeb"/>
        <w:spacing w:before="0" w:beforeAutospacing="0" w:after="0" w:afterAutospacing="0"/>
        <w:rPr>
          <w:rFonts w:ascii="Luciole" w:hAnsi="Luciole" w:cs="Calibri"/>
          <w:b/>
          <w:bCs/>
          <w:color w:val="000000"/>
        </w:rPr>
      </w:pPr>
      <w:r w:rsidRPr="003700C5">
        <w:rPr>
          <w:rFonts w:ascii="Luciole" w:hAnsi="Luciole" w:cs="Calibri"/>
          <w:b/>
          <w:bCs/>
          <w:color w:val="000000"/>
        </w:rPr>
        <w:t>Pays :</w:t>
      </w:r>
      <w:r w:rsidR="0011564F" w:rsidRPr="003700C5">
        <w:rPr>
          <w:rFonts w:ascii="Luciole" w:hAnsi="Luciole" w:cs="Calibri"/>
          <w:b/>
          <w:bCs/>
          <w:color w:val="000000"/>
        </w:rPr>
        <w:t xml:space="preserve"> </w:t>
      </w:r>
    </w:p>
    <w:p w14:paraId="30AE275B" w14:textId="77777777" w:rsidR="003700C5" w:rsidRDefault="003700C5" w:rsidP="003700C5">
      <w:pPr>
        <w:pStyle w:val="NormalWeb"/>
        <w:spacing w:before="0" w:beforeAutospacing="0" w:after="0" w:afterAutospacing="0"/>
        <w:rPr>
          <w:rFonts w:ascii="Luciole" w:hAnsi="Luciole" w:cs="Calibri"/>
          <w:b/>
          <w:bCs/>
          <w:color w:val="000000"/>
        </w:rPr>
      </w:pPr>
    </w:p>
    <w:p w14:paraId="7A0EF7B4" w14:textId="4CDF618C" w:rsidR="00990A92" w:rsidRPr="003700C5" w:rsidRDefault="00990A92" w:rsidP="003700C5">
      <w:pPr>
        <w:pStyle w:val="NormalWeb"/>
        <w:spacing w:before="0" w:beforeAutospacing="0" w:after="0" w:afterAutospacing="0"/>
        <w:rPr>
          <w:rFonts w:ascii="Luciole" w:hAnsi="Luciole"/>
        </w:rPr>
      </w:pPr>
      <w:r w:rsidRPr="003700C5">
        <w:rPr>
          <w:rFonts w:ascii="Luciole" w:hAnsi="Luciole" w:cs="Calibri"/>
          <w:color w:val="000000"/>
        </w:rPr>
        <w:t>Luxembourg</w:t>
      </w:r>
    </w:p>
    <w:p w14:paraId="24288C53" w14:textId="77777777" w:rsidR="003700C5" w:rsidRDefault="003700C5" w:rsidP="003700C5">
      <w:pPr>
        <w:pStyle w:val="NormalWeb"/>
        <w:spacing w:before="0" w:beforeAutospacing="0" w:after="0" w:afterAutospacing="0"/>
        <w:rPr>
          <w:rFonts w:ascii="Luciole" w:hAnsi="Luciole" w:cs="Calibri"/>
          <w:b/>
          <w:bCs/>
          <w:color w:val="000000"/>
        </w:rPr>
      </w:pPr>
    </w:p>
    <w:p w14:paraId="429C23D2" w14:textId="77777777" w:rsidR="003700C5" w:rsidRDefault="00990A92" w:rsidP="003700C5">
      <w:pPr>
        <w:pStyle w:val="NormalWeb"/>
        <w:spacing w:before="0" w:beforeAutospacing="0" w:after="0" w:afterAutospacing="0"/>
        <w:rPr>
          <w:rFonts w:ascii="Luciole" w:hAnsi="Luciole" w:cs="Calibri"/>
          <w:b/>
          <w:bCs/>
          <w:color w:val="000000"/>
        </w:rPr>
      </w:pPr>
      <w:r w:rsidRPr="003700C5">
        <w:rPr>
          <w:rFonts w:ascii="Luciole" w:hAnsi="Luciole" w:cs="Calibri"/>
          <w:b/>
          <w:bCs/>
          <w:color w:val="000000"/>
        </w:rPr>
        <w:t>Site internet :</w:t>
      </w:r>
      <w:r w:rsidR="0011564F" w:rsidRPr="003700C5">
        <w:rPr>
          <w:rFonts w:ascii="Luciole" w:hAnsi="Luciole" w:cs="Calibri"/>
          <w:b/>
          <w:bCs/>
          <w:color w:val="000000"/>
        </w:rPr>
        <w:t xml:space="preserve"> </w:t>
      </w:r>
    </w:p>
    <w:p w14:paraId="3B02E87A" w14:textId="77777777" w:rsidR="003700C5" w:rsidRDefault="003700C5" w:rsidP="003700C5">
      <w:pPr>
        <w:pStyle w:val="NormalWeb"/>
        <w:spacing w:before="0" w:beforeAutospacing="0" w:after="0" w:afterAutospacing="0"/>
        <w:rPr>
          <w:rFonts w:ascii="Luciole" w:hAnsi="Luciole" w:cs="Calibri"/>
          <w:b/>
          <w:bCs/>
          <w:color w:val="000000"/>
        </w:rPr>
      </w:pPr>
    </w:p>
    <w:p w14:paraId="2B41BAF7" w14:textId="7B16F6B1" w:rsidR="00990A92" w:rsidRPr="003700C5" w:rsidRDefault="00C24F46" w:rsidP="003700C5">
      <w:pPr>
        <w:pStyle w:val="NormalWeb"/>
        <w:spacing w:before="0" w:beforeAutospacing="0" w:after="0" w:afterAutospacing="0"/>
        <w:rPr>
          <w:rFonts w:ascii="Luciole" w:hAnsi="Luciole"/>
        </w:rPr>
      </w:pPr>
      <w:hyperlink r:id="rId8" w:history="1">
        <w:r w:rsidR="00990A92" w:rsidRPr="003700C5">
          <w:rPr>
            <w:rStyle w:val="Lienhypertexte"/>
            <w:rFonts w:ascii="Luciole" w:hAnsi="Luciole" w:cs="Calibri"/>
            <w:color w:val="1155CC"/>
          </w:rPr>
          <w:t>www.imslux.lu</w:t>
        </w:r>
      </w:hyperlink>
    </w:p>
    <w:p w14:paraId="799D53AD" w14:textId="77777777" w:rsidR="003700C5" w:rsidRDefault="003700C5" w:rsidP="003700C5">
      <w:pPr>
        <w:pStyle w:val="NormalWeb"/>
        <w:spacing w:before="0" w:beforeAutospacing="0" w:after="0" w:afterAutospacing="0"/>
        <w:rPr>
          <w:rFonts w:ascii="Luciole" w:hAnsi="Luciole" w:cs="Calibri"/>
          <w:b/>
          <w:bCs/>
          <w:color w:val="000000"/>
        </w:rPr>
      </w:pPr>
    </w:p>
    <w:p w14:paraId="23A01F5E" w14:textId="77777777" w:rsidR="003700C5" w:rsidRDefault="00990A92" w:rsidP="003700C5">
      <w:pPr>
        <w:pStyle w:val="NormalWeb"/>
        <w:spacing w:before="0" w:beforeAutospacing="0" w:after="0" w:afterAutospacing="0"/>
        <w:rPr>
          <w:rFonts w:ascii="Luciole" w:hAnsi="Luciole" w:cs="Calibri"/>
          <w:b/>
          <w:bCs/>
          <w:color w:val="000000"/>
        </w:rPr>
      </w:pPr>
      <w:r w:rsidRPr="003700C5">
        <w:rPr>
          <w:rFonts w:ascii="Luciole" w:hAnsi="Luciole" w:cs="Calibri"/>
          <w:b/>
          <w:bCs/>
          <w:color w:val="000000"/>
        </w:rPr>
        <w:t>Contact :</w:t>
      </w:r>
      <w:r w:rsidR="0011564F" w:rsidRPr="003700C5">
        <w:rPr>
          <w:rFonts w:ascii="Luciole" w:hAnsi="Luciole" w:cs="Calibri"/>
          <w:b/>
          <w:bCs/>
          <w:color w:val="000000"/>
        </w:rPr>
        <w:t xml:space="preserve"> </w:t>
      </w:r>
    </w:p>
    <w:p w14:paraId="3F931950" w14:textId="77777777" w:rsidR="003700C5" w:rsidRDefault="003700C5" w:rsidP="003700C5">
      <w:pPr>
        <w:pStyle w:val="NormalWeb"/>
        <w:spacing w:before="0" w:beforeAutospacing="0" w:after="0" w:afterAutospacing="0"/>
        <w:rPr>
          <w:rFonts w:ascii="Luciole" w:hAnsi="Luciole" w:cs="Calibri"/>
          <w:b/>
          <w:bCs/>
          <w:color w:val="000000"/>
        </w:rPr>
      </w:pPr>
    </w:p>
    <w:p w14:paraId="13AE51E7" w14:textId="5C6D800A" w:rsidR="00990A92" w:rsidRPr="003700C5" w:rsidRDefault="003700C5" w:rsidP="003700C5">
      <w:pPr>
        <w:pStyle w:val="NormalWeb"/>
        <w:spacing w:before="0" w:beforeAutospacing="0" w:after="0" w:afterAutospacing="0"/>
        <w:rPr>
          <w:rFonts w:ascii="Luciole" w:hAnsi="Luciole"/>
        </w:rPr>
      </w:pPr>
      <w:hyperlink r:id="rId9" w:history="1">
        <w:r w:rsidRPr="003700C5">
          <w:rPr>
            <w:rStyle w:val="Lienhypertexte"/>
            <w:rFonts w:ascii="Luciole" w:hAnsi="Luciole" w:cs="Calibri"/>
          </w:rPr>
          <w:t>mailto:info@chartediversite.lu</w:t>
        </w:r>
      </w:hyperlink>
    </w:p>
    <w:p w14:paraId="2188B8ED" w14:textId="6A8BFEB0" w:rsidR="00990A92" w:rsidRDefault="00990A92" w:rsidP="003700C5">
      <w:pPr>
        <w:spacing w:after="0" w:line="240" w:lineRule="auto"/>
        <w:ind w:left="0"/>
        <w:rPr>
          <w:rFonts w:ascii="Luciole" w:hAnsi="Luciole"/>
        </w:rPr>
      </w:pPr>
    </w:p>
    <w:p w14:paraId="093EEA42" w14:textId="6FD5DB6B" w:rsidR="003700C5" w:rsidRDefault="003700C5">
      <w:pPr>
        <w:spacing w:after="160" w:line="259" w:lineRule="auto"/>
        <w:ind w:left="0" w:firstLine="0"/>
        <w:rPr>
          <w:rFonts w:ascii="Luciole" w:hAnsi="Luciole"/>
        </w:rPr>
      </w:pPr>
      <w:r>
        <w:rPr>
          <w:rFonts w:ascii="Luciole" w:hAnsi="Luciole"/>
        </w:rPr>
        <w:br w:type="page"/>
      </w:r>
    </w:p>
    <w:p w14:paraId="152B23CF" w14:textId="0D6121A0" w:rsidR="00990A92" w:rsidRPr="003700C5" w:rsidRDefault="00990A92" w:rsidP="003700C5">
      <w:pPr>
        <w:pStyle w:val="Titre3"/>
        <w:numPr>
          <w:ilvl w:val="0"/>
          <w:numId w:val="0"/>
        </w:numPr>
        <w:spacing w:before="0" w:after="0" w:line="240" w:lineRule="auto"/>
        <w:rPr>
          <w:rFonts w:ascii="Luciole" w:hAnsi="Luciole"/>
        </w:rPr>
      </w:pPr>
      <w:r w:rsidRPr="003700C5">
        <w:rPr>
          <w:rFonts w:ascii="Luciole" w:hAnsi="Luciole" w:cs="Calibri"/>
          <w:color w:val="000000"/>
          <w:sz w:val="26"/>
          <w:szCs w:val="26"/>
        </w:rPr>
        <w:lastRenderedPageBreak/>
        <w:t>DÉTAIL DE L'INITIATIVE</w:t>
      </w:r>
      <w:r w:rsidR="001076C6" w:rsidRPr="003700C5">
        <w:rPr>
          <w:rFonts w:ascii="Calibri" w:hAnsi="Calibri" w:cs="Calibri"/>
          <w:color w:val="000000"/>
          <w:sz w:val="26"/>
          <w:szCs w:val="26"/>
        </w:rPr>
        <w:t> </w:t>
      </w:r>
      <w:r w:rsidR="001076C6" w:rsidRPr="003700C5">
        <w:rPr>
          <w:rFonts w:ascii="Luciole" w:hAnsi="Luciole" w:cs="Calibri"/>
          <w:color w:val="000000"/>
          <w:sz w:val="26"/>
          <w:szCs w:val="26"/>
        </w:rPr>
        <w:t>:</w:t>
      </w:r>
    </w:p>
    <w:p w14:paraId="57B86309" w14:textId="77777777" w:rsidR="003700C5" w:rsidRDefault="003700C5" w:rsidP="003700C5">
      <w:pPr>
        <w:pStyle w:val="NormalWeb"/>
        <w:spacing w:before="0" w:beforeAutospacing="0" w:after="0" w:afterAutospacing="0"/>
        <w:rPr>
          <w:rFonts w:ascii="Luciole" w:hAnsi="Luciole" w:cs="Calibri"/>
          <w:b/>
          <w:bCs/>
          <w:color w:val="000000"/>
        </w:rPr>
      </w:pPr>
    </w:p>
    <w:p w14:paraId="57BC284F" w14:textId="77777777" w:rsidR="003700C5" w:rsidRDefault="003700C5" w:rsidP="003700C5">
      <w:pPr>
        <w:pStyle w:val="NormalWeb"/>
        <w:spacing w:before="0" w:beforeAutospacing="0" w:after="0" w:afterAutospacing="0"/>
        <w:rPr>
          <w:rFonts w:ascii="Luciole" w:hAnsi="Luciole" w:cs="Calibri"/>
          <w:b/>
          <w:bCs/>
          <w:color w:val="000000"/>
        </w:rPr>
      </w:pPr>
    </w:p>
    <w:p w14:paraId="686348F2"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Année(s) de mise en œuvre :</w:t>
      </w:r>
      <w:r w:rsidRPr="003700C5">
        <w:rPr>
          <w:rFonts w:ascii="Luciole" w:hAnsi="Luciole" w:cs="Calibri"/>
          <w:b/>
          <w:bCs/>
          <w:color w:val="000000"/>
        </w:rPr>
        <w:br/>
      </w:r>
    </w:p>
    <w:p w14:paraId="33096928" w14:textId="43F25B7B" w:rsidR="00990A92" w:rsidRP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color w:val="000000"/>
        </w:rPr>
        <w:t>Depuis 2016</w:t>
      </w:r>
    </w:p>
    <w:p w14:paraId="17B6A5B1" w14:textId="77777777" w:rsidR="0011564F" w:rsidRDefault="0011564F" w:rsidP="003700C5">
      <w:pPr>
        <w:pStyle w:val="NormalWeb"/>
        <w:spacing w:before="0" w:beforeAutospacing="0" w:after="0" w:afterAutospacing="0"/>
        <w:rPr>
          <w:rFonts w:ascii="Luciole" w:hAnsi="Luciole"/>
        </w:rPr>
      </w:pPr>
    </w:p>
    <w:p w14:paraId="43AC6948" w14:textId="77777777" w:rsidR="003700C5" w:rsidRPr="003700C5" w:rsidRDefault="003700C5" w:rsidP="003700C5">
      <w:pPr>
        <w:pStyle w:val="NormalWeb"/>
        <w:spacing w:before="0" w:beforeAutospacing="0" w:after="0" w:afterAutospacing="0"/>
        <w:rPr>
          <w:rFonts w:ascii="Luciole" w:hAnsi="Luciole"/>
        </w:rPr>
      </w:pPr>
    </w:p>
    <w:p w14:paraId="0B13FCC6" w14:textId="77777777" w:rsidR="00990A92" w:rsidRDefault="00990A92" w:rsidP="003700C5">
      <w:pPr>
        <w:pStyle w:val="NormalWeb"/>
        <w:spacing w:before="0" w:beforeAutospacing="0" w:after="0" w:afterAutospacing="0"/>
        <w:rPr>
          <w:rFonts w:ascii="Luciole" w:hAnsi="Luciole" w:cs="Calibri"/>
          <w:b/>
          <w:bCs/>
          <w:color w:val="000000"/>
        </w:rPr>
      </w:pPr>
      <w:r w:rsidRPr="003700C5">
        <w:rPr>
          <w:rFonts w:ascii="Luciole" w:hAnsi="Luciole" w:cs="Calibri"/>
          <w:b/>
          <w:bCs/>
          <w:color w:val="000000"/>
        </w:rPr>
        <w:t>Groupe(s) cible(s) :</w:t>
      </w:r>
    </w:p>
    <w:p w14:paraId="484FC2B3" w14:textId="77777777" w:rsidR="003700C5" w:rsidRPr="003700C5" w:rsidRDefault="003700C5" w:rsidP="003700C5">
      <w:pPr>
        <w:pStyle w:val="NormalWeb"/>
        <w:spacing w:before="0" w:beforeAutospacing="0" w:after="0" w:afterAutospacing="0"/>
        <w:rPr>
          <w:rFonts w:ascii="Luciole" w:hAnsi="Luciole"/>
        </w:rPr>
      </w:pPr>
    </w:p>
    <w:p w14:paraId="18D4F839" w14:textId="77777777" w:rsidR="00990A92" w:rsidRPr="003700C5" w:rsidRDefault="00990A92" w:rsidP="003700C5">
      <w:pPr>
        <w:pStyle w:val="NormalWeb"/>
        <w:numPr>
          <w:ilvl w:val="0"/>
          <w:numId w:val="34"/>
        </w:numPr>
        <w:spacing w:before="0" w:beforeAutospacing="0" w:after="0" w:afterAutospacing="0"/>
        <w:textAlignment w:val="baseline"/>
        <w:rPr>
          <w:rFonts w:ascii="Luciole" w:hAnsi="Luciole" w:cs="Calibri"/>
          <w:color w:val="000000"/>
        </w:rPr>
      </w:pPr>
      <w:r w:rsidRPr="003700C5">
        <w:rPr>
          <w:rFonts w:ascii="Luciole" w:hAnsi="Luciole" w:cs="Calibri"/>
          <w:color w:val="000000"/>
        </w:rPr>
        <w:t>Employeurs</w:t>
      </w:r>
    </w:p>
    <w:p w14:paraId="3D435057" w14:textId="77777777" w:rsidR="00990A92" w:rsidRPr="003700C5" w:rsidRDefault="00990A92" w:rsidP="003700C5">
      <w:pPr>
        <w:pStyle w:val="NormalWeb"/>
        <w:numPr>
          <w:ilvl w:val="0"/>
          <w:numId w:val="34"/>
        </w:numPr>
        <w:spacing w:before="0" w:beforeAutospacing="0" w:after="0" w:afterAutospacing="0"/>
        <w:textAlignment w:val="baseline"/>
        <w:rPr>
          <w:rFonts w:ascii="Luciole" w:hAnsi="Luciole" w:cs="Calibri"/>
          <w:color w:val="000000"/>
        </w:rPr>
      </w:pPr>
      <w:r w:rsidRPr="003700C5">
        <w:rPr>
          <w:rFonts w:ascii="Luciole" w:hAnsi="Luciole" w:cs="Calibri"/>
          <w:color w:val="000000"/>
        </w:rPr>
        <w:t>Managers</w:t>
      </w:r>
    </w:p>
    <w:p w14:paraId="5A6DE4D5" w14:textId="77777777" w:rsidR="00990A92" w:rsidRPr="003700C5" w:rsidRDefault="00990A92" w:rsidP="003700C5">
      <w:pPr>
        <w:pStyle w:val="NormalWeb"/>
        <w:numPr>
          <w:ilvl w:val="0"/>
          <w:numId w:val="34"/>
        </w:numPr>
        <w:spacing w:before="0" w:beforeAutospacing="0" w:after="0" w:afterAutospacing="0"/>
        <w:textAlignment w:val="baseline"/>
        <w:rPr>
          <w:rFonts w:ascii="Luciole" w:hAnsi="Luciole" w:cs="Calibri"/>
          <w:color w:val="000000"/>
        </w:rPr>
      </w:pPr>
      <w:r w:rsidRPr="003700C5">
        <w:rPr>
          <w:rFonts w:ascii="Luciole" w:hAnsi="Luciole" w:cs="Calibri"/>
          <w:color w:val="000000"/>
        </w:rPr>
        <w:t>Professionnels des ressources humaines</w:t>
      </w:r>
    </w:p>
    <w:p w14:paraId="54FF4586" w14:textId="77777777" w:rsidR="0011564F" w:rsidRDefault="0011564F" w:rsidP="003700C5">
      <w:pPr>
        <w:pStyle w:val="NormalWeb"/>
        <w:spacing w:before="0" w:beforeAutospacing="0" w:after="0" w:afterAutospacing="0"/>
        <w:textAlignment w:val="baseline"/>
        <w:rPr>
          <w:rFonts w:ascii="Luciole" w:hAnsi="Luciole" w:cs="Calibri"/>
          <w:color w:val="000000"/>
        </w:rPr>
      </w:pPr>
    </w:p>
    <w:p w14:paraId="019858F1" w14:textId="77777777" w:rsidR="003700C5" w:rsidRPr="003700C5" w:rsidRDefault="003700C5" w:rsidP="003700C5">
      <w:pPr>
        <w:pStyle w:val="NormalWeb"/>
        <w:spacing w:before="0" w:beforeAutospacing="0" w:after="0" w:afterAutospacing="0"/>
        <w:textAlignment w:val="baseline"/>
        <w:rPr>
          <w:rFonts w:ascii="Luciole" w:hAnsi="Luciole" w:cs="Calibri"/>
          <w:color w:val="000000"/>
        </w:rPr>
      </w:pPr>
    </w:p>
    <w:p w14:paraId="4C98CC2C"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Description :</w:t>
      </w:r>
      <w:r w:rsidRPr="003700C5">
        <w:rPr>
          <w:rFonts w:ascii="Luciole" w:hAnsi="Luciole" w:cs="Calibri"/>
          <w:b/>
          <w:bCs/>
          <w:color w:val="000000"/>
        </w:rPr>
        <w:br/>
      </w:r>
    </w:p>
    <w:p w14:paraId="44F0A74E" w14:textId="1CDD9DC9" w:rsidR="00990A92" w:rsidRP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color w:val="000000"/>
        </w:rPr>
        <w:t xml:space="preserve">Le </w:t>
      </w:r>
      <w:r w:rsidRPr="003700C5">
        <w:rPr>
          <w:rFonts w:ascii="Luciole" w:hAnsi="Luciole" w:cs="Calibri"/>
          <w:bCs/>
          <w:color w:val="000000"/>
        </w:rPr>
        <w:t>Guide</w:t>
      </w:r>
      <w:r w:rsidRPr="003700C5">
        <w:rPr>
          <w:rFonts w:ascii="Luciole" w:hAnsi="Luciole" w:cs="Calibri"/>
          <w:b/>
          <w:bCs/>
          <w:color w:val="000000"/>
        </w:rPr>
        <w:t xml:space="preserve"> </w:t>
      </w:r>
      <w:r w:rsidRPr="003700C5">
        <w:rPr>
          <w:rFonts w:ascii="Luciole" w:hAnsi="Luciole" w:cs="Calibri"/>
          <w:bCs/>
          <w:color w:val="000000"/>
        </w:rPr>
        <w:t>Pratique du Handicap en Entreprise</w:t>
      </w:r>
      <w:r w:rsidRPr="003700C5">
        <w:rPr>
          <w:rFonts w:ascii="Luciole" w:hAnsi="Luciole" w:cs="Calibri"/>
          <w:color w:val="000000"/>
        </w:rPr>
        <w:t xml:space="preserve">, également intitulé </w:t>
      </w:r>
      <w:r w:rsidRPr="003700C5">
        <w:rPr>
          <w:rFonts w:ascii="Luciole" w:hAnsi="Luciole" w:cs="Calibri"/>
          <w:b/>
          <w:bCs/>
          <w:color w:val="000000"/>
        </w:rPr>
        <w:t>(</w:t>
      </w:r>
      <w:proofErr w:type="spellStart"/>
      <w:r w:rsidRPr="003700C5">
        <w:rPr>
          <w:rFonts w:ascii="Luciole" w:hAnsi="Luciole" w:cs="Calibri"/>
          <w:bCs/>
          <w:color w:val="000000"/>
        </w:rPr>
        <w:t>Handi</w:t>
      </w:r>
      <w:proofErr w:type="spellEnd"/>
      <w:proofErr w:type="gramStart"/>
      <w:r w:rsidRPr="003700C5">
        <w:rPr>
          <w:rFonts w:ascii="Luciole" w:hAnsi="Luciole" w:cs="Calibri"/>
          <w:bCs/>
          <w:color w:val="000000"/>
        </w:rPr>
        <w:t>)Cap</w:t>
      </w:r>
      <w:proofErr w:type="gramEnd"/>
      <w:r w:rsidRPr="003700C5">
        <w:rPr>
          <w:rFonts w:ascii="Luciole" w:hAnsi="Luciole" w:cs="Calibri"/>
          <w:bCs/>
          <w:color w:val="000000"/>
        </w:rPr>
        <w:t xml:space="preserve"> Emploi</w:t>
      </w:r>
      <w:r w:rsidRPr="003700C5">
        <w:rPr>
          <w:rFonts w:ascii="Luciole" w:hAnsi="Luciole" w:cs="Calibri"/>
          <w:color w:val="000000"/>
        </w:rPr>
        <w:t xml:space="preserve">, a été conçu par </w:t>
      </w:r>
      <w:r w:rsidRPr="003700C5">
        <w:rPr>
          <w:rFonts w:ascii="Luciole" w:hAnsi="Luciole" w:cs="Calibri"/>
          <w:bCs/>
          <w:color w:val="000000"/>
        </w:rPr>
        <w:t>IMS</w:t>
      </w:r>
      <w:r w:rsidRPr="003700C5">
        <w:rPr>
          <w:rFonts w:ascii="Luciole" w:hAnsi="Luciole" w:cs="Calibri"/>
          <w:b/>
          <w:bCs/>
          <w:color w:val="000000"/>
        </w:rPr>
        <w:t xml:space="preserve"> </w:t>
      </w:r>
      <w:r w:rsidRPr="003700C5">
        <w:rPr>
          <w:rFonts w:ascii="Luciole" w:hAnsi="Luciole" w:cs="Calibri"/>
          <w:bCs/>
          <w:color w:val="000000"/>
        </w:rPr>
        <w:t>Luxembourg</w:t>
      </w:r>
      <w:r w:rsidRPr="003700C5">
        <w:rPr>
          <w:rFonts w:ascii="Luciole" w:hAnsi="Luciole" w:cs="Calibri"/>
          <w:color w:val="000000"/>
        </w:rPr>
        <w:t xml:space="preserve"> pour aider les employeurs à mieux comprendre et intégrer les personnes en situation de dépendance et de handicap (PSDH) dans le milieu professionnel. Ce guide de référence de 100 pages couvre le cadre légal, les procédures administratives pour la reconnaissance du statut de handicap, et les étapes pour une embauche réussie. Il propose également des conseils pratiques pour créer un environnement de travail inclusif et accessible, et fournit un répertoire détaillé des acteurs clés de l'inclusion au Luxembourg.</w:t>
      </w:r>
    </w:p>
    <w:p w14:paraId="601B17CB" w14:textId="77777777" w:rsidR="0011564F" w:rsidRDefault="0011564F" w:rsidP="003700C5">
      <w:pPr>
        <w:pStyle w:val="NormalWeb"/>
        <w:spacing w:before="0" w:beforeAutospacing="0" w:after="0" w:afterAutospacing="0"/>
        <w:rPr>
          <w:rFonts w:ascii="Luciole" w:hAnsi="Luciole"/>
        </w:rPr>
      </w:pPr>
    </w:p>
    <w:p w14:paraId="7CFAF93D" w14:textId="43389577" w:rsidR="003700C5" w:rsidRDefault="003700C5">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5F4F32B3" w14:textId="77777777" w:rsidR="00990A92" w:rsidRPr="003700C5" w:rsidRDefault="00990A92" w:rsidP="003700C5">
      <w:pPr>
        <w:pStyle w:val="NormalWeb"/>
        <w:spacing w:before="0" w:beforeAutospacing="0" w:after="0" w:afterAutospacing="0"/>
        <w:rPr>
          <w:rFonts w:ascii="Luciole" w:hAnsi="Luciole" w:cs="Calibri"/>
          <w:b/>
          <w:bCs/>
          <w:color w:val="000000"/>
        </w:rPr>
      </w:pPr>
      <w:r w:rsidRPr="003700C5">
        <w:rPr>
          <w:rFonts w:ascii="Luciole" w:hAnsi="Luciole" w:cs="Calibri"/>
          <w:b/>
          <w:bCs/>
          <w:color w:val="000000"/>
        </w:rPr>
        <w:lastRenderedPageBreak/>
        <w:t>Méthodologie :</w:t>
      </w:r>
    </w:p>
    <w:p w14:paraId="0A6CB917" w14:textId="77777777" w:rsidR="0011564F" w:rsidRDefault="0011564F" w:rsidP="003700C5">
      <w:pPr>
        <w:pStyle w:val="NormalWeb"/>
        <w:spacing w:before="0" w:beforeAutospacing="0" w:after="0" w:afterAutospacing="0"/>
        <w:rPr>
          <w:rFonts w:ascii="Luciole" w:hAnsi="Luciole"/>
        </w:rPr>
      </w:pPr>
    </w:p>
    <w:p w14:paraId="3D96FD73" w14:textId="77777777" w:rsidR="003700C5" w:rsidRPr="003700C5" w:rsidRDefault="003700C5" w:rsidP="003700C5">
      <w:pPr>
        <w:pStyle w:val="NormalWeb"/>
        <w:spacing w:before="0" w:beforeAutospacing="0" w:after="0" w:afterAutospacing="0"/>
        <w:rPr>
          <w:rFonts w:ascii="Luciole" w:hAnsi="Luciole"/>
        </w:rPr>
      </w:pPr>
    </w:p>
    <w:p w14:paraId="648601E9" w14:textId="77777777" w:rsid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b/>
          <w:bCs/>
          <w:color w:val="000000"/>
        </w:rPr>
        <w:t>Cadre Légal :</w:t>
      </w:r>
      <w:r w:rsidRPr="003700C5">
        <w:rPr>
          <w:rFonts w:ascii="Luciole" w:hAnsi="Luciole" w:cs="Calibri"/>
          <w:b/>
          <w:bCs/>
          <w:color w:val="000000"/>
        </w:rPr>
        <w:br/>
      </w:r>
    </w:p>
    <w:p w14:paraId="7C58F549" w14:textId="04043F62" w:rsidR="00990A92" w:rsidRP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color w:val="000000"/>
        </w:rPr>
        <w:t>Le guide explique en détail les lois et règlements en vigueur concernant l'emploi des PSDH, aidant les employeurs à comprendre et à appliquer correctement leurs obligations légales.</w:t>
      </w:r>
    </w:p>
    <w:p w14:paraId="080561E1" w14:textId="77777777" w:rsidR="0011564F" w:rsidRPr="003700C5" w:rsidRDefault="0011564F" w:rsidP="003700C5">
      <w:pPr>
        <w:pStyle w:val="NormalWeb"/>
        <w:spacing w:before="0" w:beforeAutospacing="0" w:after="0" w:afterAutospacing="0"/>
        <w:textAlignment w:val="baseline"/>
        <w:rPr>
          <w:rFonts w:ascii="Luciole" w:hAnsi="Luciole" w:cs="Calibri"/>
          <w:color w:val="000000"/>
        </w:rPr>
      </w:pPr>
    </w:p>
    <w:p w14:paraId="48B47BE4" w14:textId="77777777" w:rsidR="000854E9" w:rsidRPr="003700C5" w:rsidRDefault="000854E9" w:rsidP="003700C5">
      <w:pPr>
        <w:pStyle w:val="NormalWeb"/>
        <w:spacing w:before="0" w:beforeAutospacing="0" w:after="0" w:afterAutospacing="0"/>
        <w:textAlignment w:val="baseline"/>
        <w:rPr>
          <w:rFonts w:ascii="Luciole" w:hAnsi="Luciole" w:cs="Calibri"/>
          <w:color w:val="000000"/>
        </w:rPr>
      </w:pPr>
    </w:p>
    <w:p w14:paraId="3200501E" w14:textId="77777777" w:rsid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b/>
          <w:bCs/>
          <w:color w:val="000000"/>
        </w:rPr>
        <w:t>Procédures Administratives :</w:t>
      </w:r>
      <w:r w:rsidRPr="003700C5">
        <w:rPr>
          <w:rFonts w:ascii="Luciole" w:hAnsi="Luciole" w:cs="Calibri"/>
          <w:b/>
          <w:bCs/>
          <w:color w:val="000000"/>
        </w:rPr>
        <w:br/>
      </w:r>
    </w:p>
    <w:p w14:paraId="7BC6DFD0" w14:textId="510E6D9B" w:rsidR="00990A92" w:rsidRP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color w:val="000000"/>
        </w:rPr>
        <w:t>Il inclut des instructions précises pour la reconnaissance officielle du statut de handicap et les démarches d'embauche, facilitant ainsi l'intégration des travailleurs PSDH dans les entreprises.</w:t>
      </w:r>
    </w:p>
    <w:p w14:paraId="01DE00D7" w14:textId="77777777" w:rsidR="0011564F" w:rsidRPr="003700C5" w:rsidRDefault="0011564F" w:rsidP="003700C5">
      <w:pPr>
        <w:pStyle w:val="NormalWeb"/>
        <w:spacing w:before="0" w:beforeAutospacing="0" w:after="0" w:afterAutospacing="0"/>
        <w:textAlignment w:val="baseline"/>
        <w:rPr>
          <w:rFonts w:ascii="Luciole" w:hAnsi="Luciole" w:cs="Calibri"/>
          <w:color w:val="000000"/>
        </w:rPr>
      </w:pPr>
    </w:p>
    <w:p w14:paraId="3CD2DCD2" w14:textId="77777777" w:rsidR="0011564F" w:rsidRPr="003700C5" w:rsidRDefault="0011564F" w:rsidP="003700C5">
      <w:pPr>
        <w:pStyle w:val="NormalWeb"/>
        <w:spacing w:before="0" w:beforeAutospacing="0" w:after="0" w:afterAutospacing="0"/>
        <w:textAlignment w:val="baseline"/>
        <w:rPr>
          <w:rFonts w:ascii="Luciole" w:hAnsi="Luciole" w:cs="Calibri"/>
          <w:color w:val="000000"/>
        </w:rPr>
      </w:pPr>
    </w:p>
    <w:p w14:paraId="318FC3ED" w14:textId="77777777" w:rsid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b/>
          <w:bCs/>
          <w:color w:val="000000"/>
        </w:rPr>
        <w:t>Conseils Pratiques :</w:t>
      </w:r>
      <w:r w:rsidRPr="003700C5">
        <w:rPr>
          <w:rFonts w:ascii="Luciole" w:hAnsi="Luciole" w:cs="Calibri"/>
          <w:b/>
          <w:bCs/>
          <w:color w:val="000000"/>
        </w:rPr>
        <w:br/>
      </w:r>
    </w:p>
    <w:p w14:paraId="178516CA" w14:textId="735C3529" w:rsidR="00990A92" w:rsidRP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color w:val="000000"/>
        </w:rPr>
        <w:t>Le guide propose des stratégies concrètes pour aménagement des postes de travail, sensibilisation des équipes, et accompagnement personnalisé des employés en situation de dépendance et de handicap.</w:t>
      </w:r>
    </w:p>
    <w:p w14:paraId="006E3E49" w14:textId="77777777" w:rsidR="0011564F" w:rsidRPr="003700C5" w:rsidRDefault="0011564F" w:rsidP="003700C5">
      <w:pPr>
        <w:pStyle w:val="NormalWeb"/>
        <w:spacing w:before="0" w:beforeAutospacing="0" w:after="0" w:afterAutospacing="0"/>
        <w:textAlignment w:val="baseline"/>
        <w:rPr>
          <w:rFonts w:ascii="Luciole" w:hAnsi="Luciole" w:cs="Calibri"/>
          <w:color w:val="000000"/>
        </w:rPr>
      </w:pPr>
    </w:p>
    <w:p w14:paraId="20582068" w14:textId="77777777" w:rsidR="0011564F" w:rsidRPr="003700C5" w:rsidRDefault="0011564F" w:rsidP="003700C5">
      <w:pPr>
        <w:pStyle w:val="NormalWeb"/>
        <w:spacing w:before="0" w:beforeAutospacing="0" w:after="0" w:afterAutospacing="0"/>
        <w:textAlignment w:val="baseline"/>
        <w:rPr>
          <w:rFonts w:ascii="Luciole" w:hAnsi="Luciole" w:cs="Calibri"/>
          <w:color w:val="000000"/>
        </w:rPr>
      </w:pPr>
    </w:p>
    <w:p w14:paraId="33704C79" w14:textId="77777777" w:rsid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b/>
          <w:bCs/>
          <w:color w:val="000000"/>
        </w:rPr>
        <w:t>Ressources et Réseaux :</w:t>
      </w:r>
      <w:r w:rsidRPr="003700C5">
        <w:rPr>
          <w:rFonts w:ascii="Luciole" w:hAnsi="Luciole" w:cs="Calibri"/>
          <w:b/>
          <w:bCs/>
          <w:color w:val="000000"/>
        </w:rPr>
        <w:br/>
      </w:r>
    </w:p>
    <w:p w14:paraId="67C81055" w14:textId="76328B0E" w:rsidR="00990A92" w:rsidRPr="003700C5" w:rsidRDefault="00990A92" w:rsidP="003700C5">
      <w:pPr>
        <w:pStyle w:val="NormalWeb"/>
        <w:spacing w:before="0" w:beforeAutospacing="0" w:after="0" w:afterAutospacing="0"/>
        <w:textAlignment w:val="baseline"/>
        <w:rPr>
          <w:rFonts w:ascii="Luciole" w:hAnsi="Luciole" w:cs="Calibri"/>
          <w:color w:val="000000"/>
        </w:rPr>
      </w:pPr>
      <w:r w:rsidRPr="003700C5">
        <w:rPr>
          <w:rFonts w:ascii="Luciole" w:hAnsi="Luciole" w:cs="Calibri"/>
          <w:color w:val="000000"/>
        </w:rPr>
        <w:t>Une section dédiée répertorie les organisations et services de soutien disponibles au Luxembourg, offrant aux employeurs un accès facile aux outils et à l'expertise nécessaires pour mener à bien leurs initiatives d'inclusion.</w:t>
      </w:r>
    </w:p>
    <w:p w14:paraId="01277BA1" w14:textId="6FDFFDDC" w:rsidR="00990A92" w:rsidRPr="003700C5" w:rsidRDefault="00990A92" w:rsidP="003700C5">
      <w:pPr>
        <w:spacing w:after="0" w:line="240" w:lineRule="auto"/>
        <w:ind w:left="0"/>
        <w:rPr>
          <w:rFonts w:ascii="Luciole" w:hAnsi="Luciole" w:cs="Times New Roman"/>
          <w:color w:val="auto"/>
        </w:rPr>
      </w:pPr>
    </w:p>
    <w:p w14:paraId="62BE6E6F" w14:textId="40291795" w:rsidR="00990A92" w:rsidRPr="003700C5" w:rsidRDefault="00990A92" w:rsidP="003700C5">
      <w:pPr>
        <w:pStyle w:val="Titre3"/>
        <w:numPr>
          <w:ilvl w:val="0"/>
          <w:numId w:val="0"/>
        </w:numPr>
        <w:spacing w:before="0" w:after="0" w:line="240" w:lineRule="auto"/>
        <w:rPr>
          <w:rFonts w:ascii="Luciole" w:hAnsi="Luciole"/>
        </w:rPr>
      </w:pPr>
      <w:r w:rsidRPr="003700C5">
        <w:rPr>
          <w:rFonts w:ascii="Luciole" w:hAnsi="Luciole" w:cs="Calibri"/>
          <w:color w:val="000000"/>
          <w:sz w:val="26"/>
          <w:szCs w:val="26"/>
        </w:rPr>
        <w:lastRenderedPageBreak/>
        <w:t>DOMAINE</w:t>
      </w:r>
      <w:r w:rsidR="001076C6" w:rsidRPr="003700C5">
        <w:rPr>
          <w:rFonts w:ascii="Calibri" w:hAnsi="Calibri" w:cs="Calibri"/>
          <w:color w:val="000000"/>
          <w:sz w:val="26"/>
          <w:szCs w:val="26"/>
        </w:rPr>
        <w:t> </w:t>
      </w:r>
      <w:r w:rsidR="001076C6" w:rsidRPr="003700C5">
        <w:rPr>
          <w:rFonts w:ascii="Luciole" w:hAnsi="Luciole" w:cs="Calibri"/>
          <w:color w:val="000000"/>
          <w:sz w:val="26"/>
          <w:szCs w:val="26"/>
        </w:rPr>
        <w:t>:</w:t>
      </w:r>
    </w:p>
    <w:p w14:paraId="0C0D94C5" w14:textId="77777777" w:rsidR="003700C5" w:rsidRDefault="003700C5" w:rsidP="003700C5">
      <w:pPr>
        <w:pStyle w:val="NormalWeb"/>
        <w:spacing w:before="0" w:beforeAutospacing="0" w:after="0" w:afterAutospacing="0"/>
        <w:rPr>
          <w:rFonts w:ascii="Luciole" w:hAnsi="Luciole" w:cs="Calibri"/>
          <w:b/>
          <w:bCs/>
          <w:color w:val="000000"/>
        </w:rPr>
      </w:pPr>
    </w:p>
    <w:p w14:paraId="001106A3" w14:textId="77777777" w:rsidR="003700C5" w:rsidRDefault="003700C5" w:rsidP="003700C5">
      <w:pPr>
        <w:pStyle w:val="NormalWeb"/>
        <w:spacing w:before="0" w:beforeAutospacing="0" w:after="0" w:afterAutospacing="0"/>
        <w:rPr>
          <w:rFonts w:ascii="Luciole" w:hAnsi="Luciole" w:cs="Calibri"/>
          <w:b/>
          <w:bCs/>
          <w:color w:val="000000"/>
        </w:rPr>
      </w:pPr>
    </w:p>
    <w:p w14:paraId="2838501E"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Facilitation de l'accès à l'emploi :</w:t>
      </w:r>
      <w:r w:rsidRPr="003700C5">
        <w:rPr>
          <w:rFonts w:ascii="Luciole" w:hAnsi="Luciole" w:cs="Calibri"/>
          <w:b/>
          <w:bCs/>
          <w:color w:val="000000"/>
        </w:rPr>
        <w:br/>
      </w:r>
    </w:p>
    <w:p w14:paraId="3E9F72D7" w14:textId="13664B85" w:rsidR="00990A92" w:rsidRP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color w:val="000000"/>
        </w:rPr>
        <w:t>Le guide fournit des informations pratiques pour aider les employeurs à recruter des PSDH, en proposant des solutions pour leur intégration réussie et durable dans les équipes de travail.</w:t>
      </w:r>
    </w:p>
    <w:p w14:paraId="7F1AE295" w14:textId="77777777" w:rsidR="0011564F" w:rsidRPr="003700C5" w:rsidRDefault="0011564F" w:rsidP="003700C5">
      <w:pPr>
        <w:pStyle w:val="NormalWeb"/>
        <w:spacing w:before="0" w:beforeAutospacing="0" w:after="0" w:afterAutospacing="0"/>
        <w:rPr>
          <w:rFonts w:ascii="Luciole" w:hAnsi="Luciole" w:cs="Calibri"/>
          <w:color w:val="000000"/>
        </w:rPr>
      </w:pPr>
    </w:p>
    <w:p w14:paraId="457367E3" w14:textId="77777777" w:rsidR="0011564F" w:rsidRPr="003700C5" w:rsidRDefault="0011564F" w:rsidP="003700C5">
      <w:pPr>
        <w:pStyle w:val="NormalWeb"/>
        <w:spacing w:before="0" w:beforeAutospacing="0" w:after="0" w:afterAutospacing="0"/>
        <w:rPr>
          <w:rFonts w:ascii="Luciole" w:hAnsi="Luciole"/>
        </w:rPr>
      </w:pPr>
    </w:p>
    <w:p w14:paraId="566BEC68"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Formation spécialisée pour les éducateurs et professionnels :</w:t>
      </w:r>
      <w:r w:rsidRPr="003700C5">
        <w:rPr>
          <w:rFonts w:ascii="Luciole" w:hAnsi="Luciole" w:cs="Calibri"/>
          <w:b/>
          <w:bCs/>
          <w:color w:val="000000"/>
        </w:rPr>
        <w:br/>
      </w:r>
    </w:p>
    <w:p w14:paraId="0605713C" w14:textId="05592960" w:rsidR="00990A92" w:rsidRPr="003700C5" w:rsidRDefault="00990A92" w:rsidP="003700C5">
      <w:pPr>
        <w:pStyle w:val="NormalWeb"/>
        <w:spacing w:before="0" w:beforeAutospacing="0" w:after="0" w:afterAutospacing="0"/>
        <w:rPr>
          <w:rFonts w:ascii="Luciole" w:hAnsi="Luciole"/>
        </w:rPr>
      </w:pPr>
      <w:r w:rsidRPr="003700C5">
        <w:rPr>
          <w:rFonts w:ascii="Luciole" w:hAnsi="Luciole" w:cs="Calibri"/>
          <w:color w:val="000000"/>
        </w:rPr>
        <w:t>Le guide propose également des programmes de formation pour les gestionnaires et le personnel RH, afin de les doter des compétences nécessaires pour soutenir efficacement les employés en situation de dépendance et de handicap.</w:t>
      </w:r>
    </w:p>
    <w:p w14:paraId="19D5B715" w14:textId="77654FBF" w:rsidR="00990A92" w:rsidRDefault="00990A92" w:rsidP="003700C5">
      <w:pPr>
        <w:spacing w:after="0" w:line="240" w:lineRule="auto"/>
        <w:ind w:left="0"/>
        <w:rPr>
          <w:rFonts w:ascii="Luciole" w:hAnsi="Luciole"/>
        </w:rPr>
      </w:pPr>
    </w:p>
    <w:p w14:paraId="48950850" w14:textId="77777777" w:rsidR="003700C5" w:rsidRPr="003700C5" w:rsidRDefault="003700C5" w:rsidP="003700C5">
      <w:pPr>
        <w:spacing w:after="0" w:line="240" w:lineRule="auto"/>
        <w:ind w:left="0"/>
        <w:rPr>
          <w:rFonts w:ascii="Luciole" w:hAnsi="Luciole"/>
        </w:rPr>
      </w:pPr>
    </w:p>
    <w:p w14:paraId="36DD6185" w14:textId="764E65F8" w:rsidR="00990A92" w:rsidRPr="003700C5" w:rsidRDefault="00990A92" w:rsidP="003700C5">
      <w:pPr>
        <w:pStyle w:val="Titre3"/>
        <w:numPr>
          <w:ilvl w:val="0"/>
          <w:numId w:val="0"/>
        </w:numPr>
        <w:spacing w:before="0" w:after="0" w:line="240" w:lineRule="auto"/>
        <w:rPr>
          <w:rFonts w:ascii="Luciole" w:hAnsi="Luciole"/>
        </w:rPr>
      </w:pPr>
      <w:r w:rsidRPr="003700C5">
        <w:rPr>
          <w:rFonts w:ascii="Luciole" w:hAnsi="Luciole" w:cs="Calibri"/>
          <w:color w:val="000000"/>
          <w:sz w:val="26"/>
          <w:szCs w:val="26"/>
        </w:rPr>
        <w:t>PRODUITS / RÉSULTATS</w:t>
      </w:r>
      <w:r w:rsidR="001076C6" w:rsidRPr="003700C5">
        <w:rPr>
          <w:rFonts w:ascii="Calibri" w:hAnsi="Calibri" w:cs="Calibri"/>
          <w:color w:val="000000"/>
          <w:sz w:val="26"/>
          <w:szCs w:val="26"/>
        </w:rPr>
        <w:t> </w:t>
      </w:r>
      <w:r w:rsidR="001076C6" w:rsidRPr="003700C5">
        <w:rPr>
          <w:rFonts w:ascii="Luciole" w:hAnsi="Luciole" w:cs="Calibri"/>
          <w:color w:val="000000"/>
          <w:sz w:val="26"/>
          <w:szCs w:val="26"/>
        </w:rPr>
        <w:t>:</w:t>
      </w:r>
    </w:p>
    <w:p w14:paraId="186CC6FF" w14:textId="77777777" w:rsidR="003700C5" w:rsidRDefault="003700C5" w:rsidP="003700C5">
      <w:pPr>
        <w:pStyle w:val="NormalWeb"/>
        <w:spacing w:before="0" w:beforeAutospacing="0" w:after="0" w:afterAutospacing="0"/>
        <w:rPr>
          <w:rFonts w:ascii="Luciole" w:hAnsi="Luciole" w:cs="Calibri"/>
          <w:b/>
          <w:bCs/>
          <w:color w:val="000000"/>
        </w:rPr>
      </w:pPr>
    </w:p>
    <w:p w14:paraId="201AE7A0" w14:textId="77777777" w:rsidR="003700C5" w:rsidRDefault="003700C5" w:rsidP="003700C5">
      <w:pPr>
        <w:pStyle w:val="NormalWeb"/>
        <w:spacing w:before="0" w:beforeAutospacing="0" w:after="0" w:afterAutospacing="0"/>
        <w:rPr>
          <w:rFonts w:ascii="Luciole" w:hAnsi="Luciole" w:cs="Calibri"/>
          <w:b/>
          <w:bCs/>
          <w:color w:val="000000"/>
        </w:rPr>
      </w:pPr>
    </w:p>
    <w:p w14:paraId="65F2EA54" w14:textId="77777777" w:rsidR="00990A92" w:rsidRDefault="00990A92" w:rsidP="003700C5">
      <w:pPr>
        <w:pStyle w:val="NormalWeb"/>
        <w:spacing w:before="0" w:beforeAutospacing="0" w:after="0" w:afterAutospacing="0"/>
        <w:rPr>
          <w:rFonts w:ascii="Luciole" w:hAnsi="Luciole" w:cs="Calibri"/>
          <w:b/>
          <w:bCs/>
          <w:color w:val="000000"/>
        </w:rPr>
      </w:pPr>
      <w:r w:rsidRPr="003700C5">
        <w:rPr>
          <w:rFonts w:ascii="Luciole" w:hAnsi="Luciole" w:cs="Calibri"/>
          <w:b/>
          <w:bCs/>
          <w:color w:val="000000"/>
        </w:rPr>
        <w:t>Type de produit :</w:t>
      </w:r>
    </w:p>
    <w:p w14:paraId="2A01ADDE" w14:textId="77777777" w:rsidR="003700C5" w:rsidRPr="003700C5" w:rsidRDefault="003700C5" w:rsidP="003700C5">
      <w:pPr>
        <w:pStyle w:val="NormalWeb"/>
        <w:spacing w:before="0" w:beforeAutospacing="0" w:after="0" w:afterAutospacing="0"/>
        <w:rPr>
          <w:rFonts w:ascii="Luciole" w:hAnsi="Luciole"/>
        </w:rPr>
      </w:pPr>
    </w:p>
    <w:p w14:paraId="33148F81" w14:textId="77777777" w:rsidR="00990A92" w:rsidRPr="003700C5" w:rsidRDefault="00990A92" w:rsidP="003700C5">
      <w:pPr>
        <w:pStyle w:val="NormalWeb"/>
        <w:numPr>
          <w:ilvl w:val="0"/>
          <w:numId w:val="35"/>
        </w:numPr>
        <w:spacing w:before="0" w:beforeAutospacing="0" w:after="0" w:afterAutospacing="0"/>
        <w:textAlignment w:val="baseline"/>
        <w:rPr>
          <w:rFonts w:ascii="Luciole" w:hAnsi="Luciole" w:cs="Calibri"/>
          <w:color w:val="000000"/>
        </w:rPr>
      </w:pPr>
      <w:r w:rsidRPr="003700C5">
        <w:rPr>
          <w:rFonts w:ascii="Luciole" w:hAnsi="Luciole" w:cs="Calibri"/>
          <w:color w:val="000000"/>
        </w:rPr>
        <w:t>Guide imprimé et PDF</w:t>
      </w:r>
    </w:p>
    <w:p w14:paraId="36D20C6C" w14:textId="77777777" w:rsidR="00990A92" w:rsidRPr="003700C5" w:rsidRDefault="00990A92" w:rsidP="003700C5">
      <w:pPr>
        <w:pStyle w:val="NormalWeb"/>
        <w:numPr>
          <w:ilvl w:val="0"/>
          <w:numId w:val="35"/>
        </w:numPr>
        <w:spacing w:before="0" w:beforeAutospacing="0" w:after="0" w:afterAutospacing="0"/>
        <w:textAlignment w:val="baseline"/>
        <w:rPr>
          <w:rFonts w:ascii="Luciole" w:hAnsi="Luciole" w:cs="Calibri"/>
          <w:color w:val="000000"/>
        </w:rPr>
      </w:pPr>
      <w:r w:rsidRPr="003700C5">
        <w:rPr>
          <w:rFonts w:ascii="Luciole" w:hAnsi="Luciole" w:cs="Calibri"/>
          <w:color w:val="000000"/>
        </w:rPr>
        <w:t>Matériel de formation</w:t>
      </w:r>
    </w:p>
    <w:p w14:paraId="04B13BE4" w14:textId="77777777" w:rsidR="0011564F" w:rsidRPr="003700C5" w:rsidRDefault="0011564F" w:rsidP="003700C5">
      <w:pPr>
        <w:pStyle w:val="NormalWeb"/>
        <w:spacing w:before="0" w:beforeAutospacing="0" w:after="0" w:afterAutospacing="0"/>
        <w:textAlignment w:val="baseline"/>
        <w:rPr>
          <w:rFonts w:ascii="Luciole" w:hAnsi="Luciole" w:cs="Calibri"/>
          <w:color w:val="000000"/>
        </w:rPr>
      </w:pPr>
    </w:p>
    <w:p w14:paraId="1E5343B7" w14:textId="77777777" w:rsidR="0011564F" w:rsidRPr="003700C5" w:rsidRDefault="0011564F" w:rsidP="003700C5">
      <w:pPr>
        <w:pStyle w:val="NormalWeb"/>
        <w:spacing w:before="0" w:beforeAutospacing="0" w:after="0" w:afterAutospacing="0"/>
        <w:textAlignment w:val="baseline"/>
        <w:rPr>
          <w:rFonts w:ascii="Luciole" w:hAnsi="Luciole" w:cs="Calibri"/>
          <w:color w:val="000000"/>
        </w:rPr>
      </w:pPr>
    </w:p>
    <w:p w14:paraId="1E51146E"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Brève description :</w:t>
      </w:r>
      <w:r w:rsidRPr="003700C5">
        <w:rPr>
          <w:rFonts w:ascii="Luciole" w:hAnsi="Luciole" w:cs="Calibri"/>
          <w:b/>
          <w:bCs/>
          <w:color w:val="000000"/>
        </w:rPr>
        <w:br/>
      </w:r>
    </w:p>
    <w:p w14:paraId="33336CCB" w14:textId="27898592" w:rsidR="00990A92" w:rsidRPr="003700C5" w:rsidRDefault="00990A92" w:rsidP="003700C5">
      <w:pPr>
        <w:pStyle w:val="NormalWeb"/>
        <w:spacing w:before="0" w:beforeAutospacing="0" w:after="0" w:afterAutospacing="0"/>
        <w:rPr>
          <w:rFonts w:ascii="Luciole" w:hAnsi="Luciole"/>
        </w:rPr>
      </w:pPr>
      <w:r w:rsidRPr="003700C5">
        <w:rPr>
          <w:rFonts w:ascii="Luciole" w:hAnsi="Luciole" w:cs="Calibri"/>
          <w:color w:val="000000"/>
        </w:rPr>
        <w:t xml:space="preserve">Le </w:t>
      </w:r>
      <w:r w:rsidRPr="003700C5">
        <w:rPr>
          <w:rFonts w:ascii="Luciole" w:hAnsi="Luciole" w:cs="Calibri"/>
          <w:bCs/>
          <w:color w:val="000000"/>
        </w:rPr>
        <w:t>Guide</w:t>
      </w:r>
      <w:r w:rsidRPr="003700C5">
        <w:rPr>
          <w:rFonts w:ascii="Luciole" w:hAnsi="Luciole" w:cs="Calibri"/>
          <w:b/>
          <w:bCs/>
          <w:color w:val="000000"/>
        </w:rPr>
        <w:t xml:space="preserve"> </w:t>
      </w:r>
      <w:r w:rsidRPr="003700C5">
        <w:rPr>
          <w:rFonts w:ascii="Luciole" w:hAnsi="Luciole" w:cs="Calibri"/>
          <w:bCs/>
          <w:color w:val="000000"/>
        </w:rPr>
        <w:t>Pratique du Handicap en Entreprise</w:t>
      </w:r>
      <w:r w:rsidRPr="003700C5">
        <w:rPr>
          <w:rFonts w:ascii="Luciole" w:hAnsi="Luciole" w:cs="Calibri"/>
          <w:color w:val="000000"/>
        </w:rPr>
        <w:t xml:space="preserve"> est un outil essentiel pour les employeurs, leur fournissant des études de cas, des témoignages, et des exemples </w:t>
      </w:r>
      <w:proofErr w:type="gramStart"/>
      <w:r w:rsidRPr="003700C5">
        <w:rPr>
          <w:rFonts w:ascii="Luciole" w:hAnsi="Luciole" w:cs="Calibri"/>
          <w:color w:val="000000"/>
        </w:rPr>
        <w:lastRenderedPageBreak/>
        <w:t>de</w:t>
      </w:r>
      <w:proofErr w:type="gramEnd"/>
      <w:r w:rsidRPr="003700C5">
        <w:rPr>
          <w:rFonts w:ascii="Luciole" w:hAnsi="Luciole" w:cs="Calibri"/>
          <w:color w:val="000000"/>
        </w:rPr>
        <w:t xml:space="preserve"> bonnes pratiques. Il facilite la mise en œuvre concrète des stratégies d’inclusion tout en garantissant la conformité avec les obligations légales.</w:t>
      </w:r>
    </w:p>
    <w:p w14:paraId="56E16E41" w14:textId="7B598B8F" w:rsidR="00990A92" w:rsidRDefault="00990A92" w:rsidP="003700C5">
      <w:pPr>
        <w:spacing w:after="0" w:line="240" w:lineRule="auto"/>
        <w:ind w:left="0"/>
        <w:rPr>
          <w:rFonts w:ascii="Luciole" w:hAnsi="Luciole"/>
        </w:rPr>
      </w:pPr>
    </w:p>
    <w:p w14:paraId="61D60210" w14:textId="77777777" w:rsidR="003700C5" w:rsidRPr="003700C5" w:rsidRDefault="003700C5" w:rsidP="003700C5">
      <w:pPr>
        <w:spacing w:after="0" w:line="240" w:lineRule="auto"/>
        <w:ind w:left="0"/>
        <w:rPr>
          <w:rFonts w:ascii="Luciole" w:hAnsi="Luciole"/>
        </w:rPr>
      </w:pPr>
    </w:p>
    <w:p w14:paraId="214F8A88" w14:textId="0CFCB9C1" w:rsidR="00990A92" w:rsidRPr="003700C5" w:rsidRDefault="00990A92" w:rsidP="003700C5">
      <w:pPr>
        <w:pStyle w:val="Titre3"/>
        <w:numPr>
          <w:ilvl w:val="0"/>
          <w:numId w:val="0"/>
        </w:numPr>
        <w:spacing w:before="0" w:after="0" w:line="240" w:lineRule="auto"/>
        <w:rPr>
          <w:rFonts w:ascii="Luciole" w:hAnsi="Luciole"/>
        </w:rPr>
      </w:pPr>
      <w:r w:rsidRPr="003700C5">
        <w:rPr>
          <w:rFonts w:ascii="Luciole" w:hAnsi="Luciole" w:cs="Calibri"/>
          <w:color w:val="000000"/>
          <w:sz w:val="26"/>
          <w:szCs w:val="26"/>
        </w:rPr>
        <w:t>IMPACT ET TRANSFÉRABILITÉ</w:t>
      </w:r>
      <w:r w:rsidR="001076C6" w:rsidRPr="003700C5">
        <w:rPr>
          <w:rFonts w:ascii="Calibri" w:hAnsi="Calibri" w:cs="Calibri"/>
          <w:color w:val="000000"/>
          <w:sz w:val="26"/>
          <w:szCs w:val="26"/>
        </w:rPr>
        <w:t> </w:t>
      </w:r>
      <w:r w:rsidR="001076C6" w:rsidRPr="003700C5">
        <w:rPr>
          <w:rFonts w:ascii="Luciole" w:hAnsi="Luciole" w:cs="Calibri"/>
          <w:color w:val="000000"/>
          <w:sz w:val="26"/>
          <w:szCs w:val="26"/>
        </w:rPr>
        <w:t>:</w:t>
      </w:r>
    </w:p>
    <w:p w14:paraId="6A19F959" w14:textId="77777777" w:rsidR="003700C5" w:rsidRDefault="003700C5" w:rsidP="003700C5">
      <w:pPr>
        <w:pStyle w:val="NormalWeb"/>
        <w:spacing w:before="0" w:beforeAutospacing="0" w:after="0" w:afterAutospacing="0"/>
        <w:rPr>
          <w:rFonts w:ascii="Luciole" w:hAnsi="Luciole" w:cs="Calibri"/>
          <w:b/>
          <w:bCs/>
          <w:color w:val="000000"/>
        </w:rPr>
      </w:pPr>
    </w:p>
    <w:p w14:paraId="017FCDDC" w14:textId="77777777" w:rsidR="003700C5" w:rsidRDefault="003700C5" w:rsidP="003700C5">
      <w:pPr>
        <w:pStyle w:val="NormalWeb"/>
        <w:spacing w:before="0" w:beforeAutospacing="0" w:after="0" w:afterAutospacing="0"/>
        <w:rPr>
          <w:rFonts w:ascii="Luciole" w:hAnsi="Luciole" w:cs="Calibri"/>
          <w:b/>
          <w:bCs/>
          <w:color w:val="000000"/>
        </w:rPr>
      </w:pPr>
    </w:p>
    <w:p w14:paraId="1F09346F"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Impact sur les groupes cibles :</w:t>
      </w:r>
      <w:r w:rsidRPr="003700C5">
        <w:rPr>
          <w:rFonts w:ascii="Luciole" w:hAnsi="Luciole" w:cs="Calibri"/>
          <w:b/>
          <w:bCs/>
          <w:color w:val="000000"/>
        </w:rPr>
        <w:br/>
      </w:r>
    </w:p>
    <w:p w14:paraId="038251DC" w14:textId="3F2D530D" w:rsidR="00990A92" w:rsidRP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color w:val="000000"/>
        </w:rPr>
        <w:t>Ce guide a permis aux entreprises luxembourgeoises de mieux comprendre les enjeux de l’inclusion des PSDH, favorisant l’adoption de pratiques plus inclusives et une culture d’entreprise plus diversifiée. Cela a conduit à une augmentation de l’emploi des PSDH tout en créant un environnement de travail plus respectueux des différences.</w:t>
      </w:r>
    </w:p>
    <w:p w14:paraId="354BE31D" w14:textId="77777777" w:rsidR="0011564F" w:rsidRPr="003700C5" w:rsidRDefault="0011564F" w:rsidP="003700C5">
      <w:pPr>
        <w:pStyle w:val="NormalWeb"/>
        <w:spacing w:before="0" w:beforeAutospacing="0" w:after="0" w:afterAutospacing="0"/>
        <w:rPr>
          <w:rFonts w:ascii="Luciole" w:hAnsi="Luciole" w:cs="Calibri"/>
          <w:color w:val="000000"/>
        </w:rPr>
      </w:pPr>
    </w:p>
    <w:p w14:paraId="3B54943F" w14:textId="77777777" w:rsidR="0011564F" w:rsidRPr="003700C5" w:rsidRDefault="0011564F" w:rsidP="003700C5">
      <w:pPr>
        <w:pStyle w:val="NormalWeb"/>
        <w:spacing w:before="0" w:beforeAutospacing="0" w:after="0" w:afterAutospacing="0"/>
        <w:rPr>
          <w:rFonts w:ascii="Luciole" w:hAnsi="Luciole"/>
        </w:rPr>
      </w:pPr>
    </w:p>
    <w:p w14:paraId="48D7FF10" w14:textId="77777777" w:rsidR="003700C5" w:rsidRDefault="00990A92" w:rsidP="003700C5">
      <w:pPr>
        <w:pStyle w:val="NormalWeb"/>
        <w:spacing w:before="0" w:beforeAutospacing="0" w:after="0" w:afterAutospacing="0"/>
        <w:rPr>
          <w:rFonts w:ascii="Luciole" w:hAnsi="Luciole" w:cs="Calibri"/>
          <w:color w:val="000000"/>
        </w:rPr>
      </w:pPr>
      <w:r w:rsidRPr="003700C5">
        <w:rPr>
          <w:rFonts w:ascii="Luciole" w:hAnsi="Luciole" w:cs="Calibri"/>
          <w:b/>
          <w:bCs/>
          <w:color w:val="000000"/>
        </w:rPr>
        <w:t>Brève description :</w:t>
      </w:r>
      <w:r w:rsidRPr="003700C5">
        <w:rPr>
          <w:rFonts w:ascii="Luciole" w:hAnsi="Luciole" w:cs="Calibri"/>
          <w:b/>
          <w:bCs/>
          <w:color w:val="000000"/>
        </w:rPr>
        <w:br/>
      </w:r>
    </w:p>
    <w:p w14:paraId="398B1F38" w14:textId="2160E92C" w:rsidR="00990A92" w:rsidRPr="003700C5" w:rsidRDefault="00990A92" w:rsidP="003700C5">
      <w:pPr>
        <w:pStyle w:val="NormalWeb"/>
        <w:spacing w:before="0" w:beforeAutospacing="0" w:after="0" w:afterAutospacing="0"/>
        <w:rPr>
          <w:rFonts w:ascii="Luciole" w:hAnsi="Luciole"/>
        </w:rPr>
      </w:pPr>
      <w:bookmarkStart w:id="0" w:name="_GoBack"/>
      <w:bookmarkEnd w:id="0"/>
      <w:r w:rsidRPr="003700C5">
        <w:rPr>
          <w:rFonts w:ascii="Luciole" w:hAnsi="Luciole" w:cs="Calibri"/>
          <w:color w:val="000000"/>
        </w:rPr>
        <w:t xml:space="preserve">Les principes et méthodologies du </w:t>
      </w:r>
      <w:r w:rsidRPr="003700C5">
        <w:rPr>
          <w:rFonts w:ascii="Luciole" w:hAnsi="Luciole" w:cs="Calibri"/>
          <w:bCs/>
          <w:color w:val="000000"/>
        </w:rPr>
        <w:t>Guide</w:t>
      </w:r>
      <w:r w:rsidRPr="003700C5">
        <w:rPr>
          <w:rFonts w:ascii="Luciole" w:hAnsi="Luciole" w:cs="Calibri"/>
          <w:b/>
          <w:bCs/>
          <w:color w:val="000000"/>
        </w:rPr>
        <w:t xml:space="preserve"> </w:t>
      </w:r>
      <w:r w:rsidRPr="003700C5">
        <w:rPr>
          <w:rFonts w:ascii="Luciole" w:hAnsi="Luciole" w:cs="Calibri"/>
          <w:bCs/>
          <w:color w:val="000000"/>
        </w:rPr>
        <w:t>Pratique du Handicap en Entreprise</w:t>
      </w:r>
      <w:r w:rsidRPr="003700C5">
        <w:rPr>
          <w:rFonts w:ascii="Luciole" w:hAnsi="Luciole" w:cs="Calibri"/>
          <w:color w:val="000000"/>
        </w:rPr>
        <w:t xml:space="preserve"> peuvent être facilement adaptés et appliqués dans d’autres contextes. En ajustant les informations légales et en intégrant les ressources locales, ce guide peut devenir un outil précieux pour toute organisation cherchant à améliorer l’inclusion des PSDH dans le monde du travail.</w:t>
      </w:r>
    </w:p>
    <w:p w14:paraId="688D6D83" w14:textId="4F07A4FC" w:rsidR="00361213" w:rsidRPr="003700C5" w:rsidRDefault="00361213" w:rsidP="003700C5">
      <w:pPr>
        <w:pStyle w:val="NormalWeb"/>
        <w:spacing w:before="0" w:beforeAutospacing="0" w:after="0" w:afterAutospacing="0"/>
        <w:rPr>
          <w:rFonts w:ascii="Luciole" w:hAnsi="Luciole"/>
        </w:rPr>
      </w:pPr>
    </w:p>
    <w:p w14:paraId="2D0E81FF" w14:textId="7E63DF6A" w:rsidR="00777167" w:rsidRPr="003700C5" w:rsidRDefault="00777167" w:rsidP="003700C5">
      <w:pPr>
        <w:spacing w:after="0" w:line="240" w:lineRule="auto"/>
        <w:ind w:left="0"/>
        <w:rPr>
          <w:rFonts w:ascii="Luciole" w:hAnsi="Luciole"/>
        </w:rPr>
      </w:pPr>
    </w:p>
    <w:sectPr w:rsidR="00777167" w:rsidRPr="003700C5"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E3B53" w14:textId="77777777" w:rsidR="00C24F46" w:rsidRDefault="00C24F46" w:rsidP="008D2C54">
      <w:r>
        <w:separator/>
      </w:r>
    </w:p>
  </w:endnote>
  <w:endnote w:type="continuationSeparator" w:id="0">
    <w:p w14:paraId="42F6DA22" w14:textId="77777777" w:rsidR="00C24F46" w:rsidRDefault="00C24F46"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2BFC90D8-336E-4B38-BB55-DFE645F0E246}"/>
    <w:embedBold r:id="rId2" w:fontKey="{F7F3EC8A-38BD-4C66-B579-AAEDEB5E95F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B7785BE3-A8FC-4536-88EE-67944DED379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3700C5">
          <w:rPr>
            <w:noProof/>
          </w:rPr>
          <w:t>5</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7C624" w14:textId="77777777" w:rsidR="00C24F46" w:rsidRDefault="00C24F46" w:rsidP="008D2C54">
      <w:r>
        <w:separator/>
      </w:r>
    </w:p>
  </w:footnote>
  <w:footnote w:type="continuationSeparator" w:id="0">
    <w:p w14:paraId="18F40E90" w14:textId="77777777" w:rsidR="00C24F46" w:rsidRDefault="00C24F46"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3700C5">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71E44"/>
    <w:multiLevelType w:val="hybridMultilevel"/>
    <w:tmpl w:val="830ABA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EC4603"/>
    <w:multiLevelType w:val="hybridMultilevel"/>
    <w:tmpl w:val="3BCA3BD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390F4363"/>
    <w:multiLevelType w:val="multilevel"/>
    <w:tmpl w:val="CE7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DEA4DE2"/>
    <w:multiLevelType w:val="multilevel"/>
    <w:tmpl w:val="3A30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6373B9"/>
    <w:multiLevelType w:val="multilevel"/>
    <w:tmpl w:val="A35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5"/>
  </w:num>
  <w:num w:numId="2">
    <w:abstractNumId w:val="30"/>
  </w:num>
  <w:num w:numId="3">
    <w:abstractNumId w:val="14"/>
  </w:num>
  <w:num w:numId="4">
    <w:abstractNumId w:val="31"/>
  </w:num>
  <w:num w:numId="5">
    <w:abstractNumId w:val="2"/>
  </w:num>
  <w:num w:numId="6">
    <w:abstractNumId w:val="3"/>
  </w:num>
  <w:num w:numId="7">
    <w:abstractNumId w:val="27"/>
  </w:num>
  <w:num w:numId="8">
    <w:abstractNumId w:val="33"/>
  </w:num>
  <w:num w:numId="9">
    <w:abstractNumId w:val="9"/>
  </w:num>
  <w:num w:numId="10">
    <w:abstractNumId w:val="23"/>
  </w:num>
  <w:num w:numId="11">
    <w:abstractNumId w:val="26"/>
  </w:num>
  <w:num w:numId="12">
    <w:abstractNumId w:val="10"/>
  </w:num>
  <w:num w:numId="13">
    <w:abstractNumId w:val="1"/>
  </w:num>
  <w:num w:numId="14">
    <w:abstractNumId w:val="34"/>
  </w:num>
  <w:num w:numId="15">
    <w:abstractNumId w:val="13"/>
  </w:num>
  <w:num w:numId="16">
    <w:abstractNumId w:val="0"/>
  </w:num>
  <w:num w:numId="17">
    <w:abstractNumId w:val="21"/>
  </w:num>
  <w:num w:numId="18">
    <w:abstractNumId w:val="29"/>
  </w:num>
  <w:num w:numId="19">
    <w:abstractNumId w:val="11"/>
  </w:num>
  <w:num w:numId="20">
    <w:abstractNumId w:val="22"/>
  </w:num>
  <w:num w:numId="21">
    <w:abstractNumId w:val="6"/>
  </w:num>
  <w:num w:numId="22">
    <w:abstractNumId w:val="19"/>
  </w:num>
  <w:num w:numId="23">
    <w:abstractNumId w:val="25"/>
  </w:num>
  <w:num w:numId="24">
    <w:abstractNumId w:val="12"/>
  </w:num>
  <w:num w:numId="25">
    <w:abstractNumId w:val="20"/>
  </w:num>
  <w:num w:numId="26">
    <w:abstractNumId w:val="4"/>
  </w:num>
  <w:num w:numId="27">
    <w:abstractNumId w:val="18"/>
  </w:num>
  <w:num w:numId="28">
    <w:abstractNumId w:val="7"/>
  </w:num>
  <w:num w:numId="29">
    <w:abstractNumId w:val="5"/>
  </w:num>
  <w:num w:numId="30">
    <w:abstractNumId w:val="32"/>
  </w:num>
  <w:num w:numId="31">
    <w:abstractNumId w:val="17"/>
  </w:num>
  <w:num w:numId="32">
    <w:abstractNumId w:val="28"/>
  </w:num>
  <w:num w:numId="33">
    <w:abstractNumId w:val="24"/>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854E9"/>
    <w:rsid w:val="001076C6"/>
    <w:rsid w:val="0011564F"/>
    <w:rsid w:val="00125850"/>
    <w:rsid w:val="001B002B"/>
    <w:rsid w:val="001C06E4"/>
    <w:rsid w:val="002052FF"/>
    <w:rsid w:val="00283099"/>
    <w:rsid w:val="00295C02"/>
    <w:rsid w:val="002E1F33"/>
    <w:rsid w:val="002F109E"/>
    <w:rsid w:val="003058F9"/>
    <w:rsid w:val="00344B35"/>
    <w:rsid w:val="00357120"/>
    <w:rsid w:val="00361213"/>
    <w:rsid w:val="003700C5"/>
    <w:rsid w:val="003748C3"/>
    <w:rsid w:val="003E67EF"/>
    <w:rsid w:val="00435290"/>
    <w:rsid w:val="0043677B"/>
    <w:rsid w:val="0049728F"/>
    <w:rsid w:val="004B742E"/>
    <w:rsid w:val="004C45B6"/>
    <w:rsid w:val="004D7D3D"/>
    <w:rsid w:val="004F69D1"/>
    <w:rsid w:val="00533A90"/>
    <w:rsid w:val="005B47C7"/>
    <w:rsid w:val="006356FA"/>
    <w:rsid w:val="006C2583"/>
    <w:rsid w:val="006C5B7A"/>
    <w:rsid w:val="006D53CC"/>
    <w:rsid w:val="00714AE0"/>
    <w:rsid w:val="00777167"/>
    <w:rsid w:val="007A1FBB"/>
    <w:rsid w:val="007D6C46"/>
    <w:rsid w:val="007E2D99"/>
    <w:rsid w:val="008657EB"/>
    <w:rsid w:val="00875269"/>
    <w:rsid w:val="008B2213"/>
    <w:rsid w:val="008D2C54"/>
    <w:rsid w:val="008D7634"/>
    <w:rsid w:val="00967BB0"/>
    <w:rsid w:val="00990A92"/>
    <w:rsid w:val="009E18D8"/>
    <w:rsid w:val="00A26B77"/>
    <w:rsid w:val="00A56FB1"/>
    <w:rsid w:val="00A632FE"/>
    <w:rsid w:val="00A768BD"/>
    <w:rsid w:val="00AE07A3"/>
    <w:rsid w:val="00AF5BF2"/>
    <w:rsid w:val="00B92AB9"/>
    <w:rsid w:val="00B93ED7"/>
    <w:rsid w:val="00B97622"/>
    <w:rsid w:val="00C13CAA"/>
    <w:rsid w:val="00C24F46"/>
    <w:rsid w:val="00C72994"/>
    <w:rsid w:val="00C976F9"/>
    <w:rsid w:val="00CE6F36"/>
    <w:rsid w:val="00D41596"/>
    <w:rsid w:val="00D82191"/>
    <w:rsid w:val="00D93F3C"/>
    <w:rsid w:val="00E936A3"/>
    <w:rsid w:val="00ED1093"/>
    <w:rsid w:val="00ED3DDF"/>
    <w:rsid w:val="00F07106"/>
    <w:rsid w:val="00F430B8"/>
    <w:rsid w:val="00F47743"/>
    <w:rsid w:val="00F663E2"/>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1860">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20790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lux.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artediversite.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4050-EB2B-4453-9B66-6CB1C008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9</TotalTime>
  <Pages>5</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7</cp:revision>
  <cp:lastPrinted>2024-12-23T11:09:00Z</cp:lastPrinted>
  <dcterms:created xsi:type="dcterms:W3CDTF">2024-12-28T13:47:00Z</dcterms:created>
  <dcterms:modified xsi:type="dcterms:W3CDTF">2024-12-30T16:02:00Z</dcterms:modified>
</cp:coreProperties>
</file>