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05878" w14:textId="77777777" w:rsidR="00552E8C" w:rsidRDefault="00552E8C" w:rsidP="00015E28">
      <w:pPr>
        <w:pStyle w:val="TitreDocument"/>
        <w:spacing w:before="0" w:after="0" w:line="240" w:lineRule="auto"/>
        <w:ind w:left="0" w:right="0"/>
        <w:rPr>
          <w:szCs w:val="24"/>
        </w:rPr>
      </w:pPr>
      <w:r w:rsidRPr="00015E28">
        <w:rPr>
          <w:szCs w:val="24"/>
        </w:rPr>
        <w:t>E-HANDI TOUR GUIDE DE L’INCLUSION INNOVANTE DES PSDH</w:t>
      </w:r>
    </w:p>
    <w:p w14:paraId="2D346400" w14:textId="77777777" w:rsidR="00015E28" w:rsidRPr="00015E28" w:rsidRDefault="00015E28" w:rsidP="00015E28">
      <w:pPr>
        <w:pStyle w:val="TitreDocument"/>
        <w:spacing w:before="0" w:after="0" w:line="240" w:lineRule="auto"/>
        <w:ind w:left="0" w:right="0"/>
        <w:rPr>
          <w:szCs w:val="24"/>
        </w:rPr>
      </w:pPr>
    </w:p>
    <w:p w14:paraId="7F6EB00F" w14:textId="77777777" w:rsidR="00552E8C" w:rsidRPr="00015E28" w:rsidRDefault="00552E8C" w:rsidP="00015E28">
      <w:pPr>
        <w:pStyle w:val="TitreDocument"/>
        <w:spacing w:before="0" w:after="0" w:line="240" w:lineRule="auto"/>
        <w:ind w:left="0" w:right="0"/>
        <w:rPr>
          <w:color w:val="000000" w:themeColor="text1"/>
          <w:szCs w:val="24"/>
        </w:rPr>
      </w:pPr>
      <w:r w:rsidRPr="00015E28">
        <w:rPr>
          <w:color w:val="000000" w:themeColor="text1"/>
          <w:szCs w:val="24"/>
        </w:rPr>
        <w:t>Projet « Compéthences » - Formation des personnes handicapées aux métiers de l’accessibilité numérique</w:t>
      </w:r>
    </w:p>
    <w:p w14:paraId="7088AD3B" w14:textId="77777777" w:rsidR="00015E28" w:rsidRDefault="00015E28" w:rsidP="00015E28">
      <w:pPr>
        <w:pStyle w:val="CelluleTableau"/>
        <w:spacing w:line="240" w:lineRule="auto"/>
        <w:ind w:left="0" w:right="0"/>
        <w:rPr>
          <w:rFonts w:eastAsiaTheme="minorEastAsia"/>
        </w:rPr>
      </w:pPr>
    </w:p>
    <w:p w14:paraId="466A94C3" w14:textId="77777777" w:rsidR="00015E28" w:rsidRDefault="00015E28" w:rsidP="00015E28">
      <w:pPr>
        <w:pStyle w:val="CelluleTableau"/>
        <w:spacing w:line="240" w:lineRule="auto"/>
        <w:ind w:left="0" w:right="0"/>
        <w:rPr>
          <w:rFonts w:eastAsiaTheme="minorEastAsia"/>
        </w:rPr>
      </w:pPr>
    </w:p>
    <w:p w14:paraId="0575267A" w14:textId="77777777" w:rsidR="00015E28" w:rsidRPr="002A2888" w:rsidRDefault="00015E28" w:rsidP="00015E28">
      <w:pPr>
        <w:pStyle w:val="EnteteTableau"/>
        <w:numPr>
          <w:ilvl w:val="0"/>
          <w:numId w:val="0"/>
        </w:numPr>
        <w:spacing w:before="0" w:after="0"/>
      </w:pPr>
      <w:r w:rsidRPr="002A2888">
        <w:t>Promoteur de l'initiative</w:t>
      </w:r>
      <w:r w:rsidRPr="002A2888">
        <w:rPr>
          <w:rFonts w:ascii="Calibri" w:hAnsi="Calibri"/>
        </w:rPr>
        <w:t> </w:t>
      </w:r>
      <w:r w:rsidRPr="002A2888">
        <w:t>:</w:t>
      </w:r>
    </w:p>
    <w:p w14:paraId="75DEF54B" w14:textId="77777777" w:rsidR="00015E28" w:rsidRDefault="00015E28" w:rsidP="00015E28">
      <w:pPr>
        <w:pStyle w:val="CelluleTableau"/>
        <w:spacing w:line="240" w:lineRule="auto"/>
        <w:ind w:left="0" w:right="0"/>
        <w:rPr>
          <w:rFonts w:eastAsiaTheme="minorEastAsia"/>
        </w:rPr>
      </w:pPr>
    </w:p>
    <w:p w14:paraId="467DB26D" w14:textId="2772C750" w:rsidR="00552E8C" w:rsidRPr="00015E28" w:rsidRDefault="00552E8C" w:rsidP="00015E28">
      <w:pPr>
        <w:pStyle w:val="CelluleTableau"/>
        <w:spacing w:line="240" w:lineRule="auto"/>
        <w:ind w:left="0" w:right="0"/>
        <w:rPr>
          <w:rFonts w:eastAsiaTheme="minorEastAsia"/>
        </w:rPr>
      </w:pPr>
      <w:r w:rsidRPr="00015E28">
        <w:rPr>
          <w:rFonts w:eastAsiaTheme="minorEastAsia"/>
        </w:rPr>
        <w:t>Urbilog et Compéthence</w:t>
      </w:r>
      <w:r w:rsidR="00687F6C" w:rsidRPr="00015E28">
        <w:rPr>
          <w:rFonts w:eastAsiaTheme="minorEastAsia"/>
        </w:rPr>
        <w:t>.</w:t>
      </w:r>
    </w:p>
    <w:p w14:paraId="7A51BCE8" w14:textId="77777777" w:rsidR="00015E28" w:rsidRDefault="00015E28" w:rsidP="00015E28">
      <w:pPr>
        <w:pStyle w:val="EnteteTableau"/>
        <w:numPr>
          <w:ilvl w:val="0"/>
          <w:numId w:val="0"/>
        </w:numPr>
        <w:spacing w:before="0" w:after="0"/>
        <w:ind w:right="0"/>
      </w:pPr>
    </w:p>
    <w:p w14:paraId="5F32D35E" w14:textId="4F1CCDF5" w:rsidR="00552E8C" w:rsidRPr="00015E28" w:rsidRDefault="00552E8C" w:rsidP="00015E28">
      <w:pPr>
        <w:pStyle w:val="EnteteTableau"/>
        <w:numPr>
          <w:ilvl w:val="0"/>
          <w:numId w:val="0"/>
        </w:numPr>
        <w:spacing w:before="0" w:after="0"/>
        <w:ind w:right="0"/>
      </w:pPr>
      <w:r w:rsidRPr="00015E28">
        <w:t>Pays</w:t>
      </w:r>
      <w:r w:rsidR="00687F6C" w:rsidRPr="00015E28">
        <w:rPr>
          <w:rFonts w:ascii="Calibri" w:hAnsi="Calibri"/>
        </w:rPr>
        <w:t> </w:t>
      </w:r>
      <w:r w:rsidR="00687F6C" w:rsidRPr="00015E28">
        <w:t>:</w:t>
      </w:r>
    </w:p>
    <w:p w14:paraId="2CC8FF07" w14:textId="77777777" w:rsidR="00015E28" w:rsidRDefault="00015E28" w:rsidP="00015E28">
      <w:pPr>
        <w:pStyle w:val="CelluleTableau"/>
        <w:spacing w:line="240" w:lineRule="auto"/>
        <w:ind w:left="0" w:right="0"/>
        <w:rPr>
          <w:rFonts w:eastAsiaTheme="minorEastAsia"/>
        </w:rPr>
      </w:pPr>
    </w:p>
    <w:p w14:paraId="3BE399D6" w14:textId="77777777" w:rsidR="00552E8C" w:rsidRPr="00015E28" w:rsidRDefault="00552E8C" w:rsidP="00015E28">
      <w:pPr>
        <w:pStyle w:val="CelluleTableau"/>
        <w:spacing w:line="240" w:lineRule="auto"/>
        <w:ind w:left="0" w:right="0"/>
        <w:rPr>
          <w:rFonts w:eastAsiaTheme="minorEastAsia"/>
        </w:rPr>
      </w:pPr>
      <w:r w:rsidRPr="00015E28">
        <w:rPr>
          <w:rFonts w:eastAsiaTheme="minorEastAsia"/>
        </w:rPr>
        <w:t>France</w:t>
      </w:r>
    </w:p>
    <w:p w14:paraId="35EC7501" w14:textId="77777777" w:rsidR="00015E28" w:rsidRDefault="00015E28" w:rsidP="00015E28">
      <w:pPr>
        <w:pStyle w:val="EnteteTableau"/>
        <w:numPr>
          <w:ilvl w:val="0"/>
          <w:numId w:val="0"/>
        </w:numPr>
        <w:spacing w:before="0" w:after="0"/>
        <w:ind w:right="0"/>
      </w:pPr>
    </w:p>
    <w:p w14:paraId="259174AB" w14:textId="29CF88CD" w:rsidR="00552E8C" w:rsidRPr="00015E28" w:rsidRDefault="00552E8C" w:rsidP="00015E28">
      <w:pPr>
        <w:pStyle w:val="EnteteTableau"/>
        <w:numPr>
          <w:ilvl w:val="0"/>
          <w:numId w:val="0"/>
        </w:numPr>
        <w:spacing w:before="0" w:after="0"/>
        <w:ind w:right="0"/>
      </w:pPr>
      <w:r w:rsidRPr="00015E28">
        <w:t>Site internet</w:t>
      </w:r>
      <w:r w:rsidR="00687F6C" w:rsidRPr="00015E28">
        <w:rPr>
          <w:rFonts w:ascii="Calibri" w:hAnsi="Calibri"/>
        </w:rPr>
        <w:t> </w:t>
      </w:r>
      <w:r w:rsidR="00687F6C" w:rsidRPr="00015E28">
        <w:t>:</w:t>
      </w:r>
    </w:p>
    <w:p w14:paraId="4B516973" w14:textId="77777777" w:rsidR="00015E28" w:rsidRDefault="00015E28" w:rsidP="00015E28">
      <w:pPr>
        <w:pStyle w:val="CelluleTableau"/>
        <w:spacing w:line="240" w:lineRule="auto"/>
        <w:ind w:left="0" w:right="0"/>
        <w:rPr>
          <w:rStyle w:val="Lienhypertexte"/>
          <w:rFonts w:eastAsiaTheme="minorEastAsia"/>
        </w:rPr>
      </w:pPr>
    </w:p>
    <w:p w14:paraId="58359A5D" w14:textId="2B32FB7B" w:rsidR="00552E8C" w:rsidRPr="00015E28" w:rsidRDefault="00C74B87" w:rsidP="00015E28">
      <w:pPr>
        <w:pStyle w:val="CelluleTableau"/>
        <w:spacing w:line="240" w:lineRule="auto"/>
        <w:ind w:left="0" w:right="0"/>
        <w:rPr>
          <w:rFonts w:eastAsiaTheme="minorEastAsia"/>
        </w:rPr>
      </w:pPr>
      <w:hyperlink r:id="rId8" w:tooltip="Site internet de Urbilog" w:history="1">
        <w:r w:rsidR="00552E8C" w:rsidRPr="00015E28">
          <w:rPr>
            <w:rStyle w:val="Lienhypertexte"/>
            <w:rFonts w:eastAsiaTheme="minorEastAsia"/>
          </w:rPr>
          <w:t>https://www.urbilog.com</w:t>
        </w:r>
      </w:hyperlink>
    </w:p>
    <w:p w14:paraId="0D474290" w14:textId="77777777" w:rsidR="00015E28" w:rsidRDefault="00015E28" w:rsidP="00015E28">
      <w:pPr>
        <w:pStyle w:val="EnteteTableau"/>
        <w:numPr>
          <w:ilvl w:val="0"/>
          <w:numId w:val="0"/>
        </w:numPr>
        <w:spacing w:before="0" w:after="0"/>
        <w:ind w:right="0"/>
      </w:pPr>
    </w:p>
    <w:p w14:paraId="6015F845" w14:textId="77777777" w:rsidR="00687F6C" w:rsidRPr="00015E28" w:rsidRDefault="00687F6C" w:rsidP="00015E28">
      <w:pPr>
        <w:pStyle w:val="EnteteTableau"/>
        <w:numPr>
          <w:ilvl w:val="0"/>
          <w:numId w:val="0"/>
        </w:numPr>
        <w:spacing w:before="0" w:after="0"/>
        <w:ind w:right="0" w:hanging="357"/>
      </w:pPr>
    </w:p>
    <w:p w14:paraId="28E25646" w14:textId="77777777" w:rsidR="00552E8C" w:rsidRPr="00015E28" w:rsidRDefault="00552E8C" w:rsidP="00015E28">
      <w:pPr>
        <w:pStyle w:val="Titre1"/>
        <w:numPr>
          <w:ilvl w:val="0"/>
          <w:numId w:val="0"/>
        </w:numPr>
        <w:spacing w:before="0" w:after="0" w:line="240" w:lineRule="auto"/>
        <w:ind w:right="0"/>
        <w:rPr>
          <w:szCs w:val="24"/>
        </w:rPr>
      </w:pPr>
      <w:r w:rsidRPr="00015E28">
        <w:rPr>
          <w:szCs w:val="24"/>
        </w:rPr>
        <w:t>DETAIL DE L’INITIATIVE :</w:t>
      </w:r>
    </w:p>
    <w:p w14:paraId="01D1435E" w14:textId="77777777" w:rsidR="00015E28" w:rsidRDefault="00015E28" w:rsidP="00015E28">
      <w:pPr>
        <w:pStyle w:val="EnteteTableau"/>
        <w:numPr>
          <w:ilvl w:val="0"/>
          <w:numId w:val="0"/>
        </w:numPr>
        <w:spacing w:before="0" w:after="0"/>
        <w:ind w:right="0"/>
      </w:pPr>
    </w:p>
    <w:p w14:paraId="54121157" w14:textId="77777777" w:rsidR="00015E28" w:rsidRDefault="00015E28" w:rsidP="00015E28">
      <w:pPr>
        <w:pStyle w:val="EnteteTableau"/>
        <w:numPr>
          <w:ilvl w:val="0"/>
          <w:numId w:val="0"/>
        </w:numPr>
        <w:spacing w:before="0" w:after="0"/>
        <w:ind w:right="0"/>
      </w:pPr>
    </w:p>
    <w:p w14:paraId="423FDCD2" w14:textId="14C061B5" w:rsidR="00552E8C" w:rsidRPr="00015E28" w:rsidRDefault="00552E8C" w:rsidP="00015E28">
      <w:pPr>
        <w:pStyle w:val="EnteteTableau"/>
        <w:numPr>
          <w:ilvl w:val="0"/>
          <w:numId w:val="0"/>
        </w:numPr>
        <w:spacing w:before="0" w:after="0"/>
        <w:ind w:right="0"/>
      </w:pPr>
      <w:r w:rsidRPr="00015E28">
        <w:t>Année(s) de mise en œuvre</w:t>
      </w:r>
      <w:r w:rsidR="00687F6C" w:rsidRPr="00015E28">
        <w:rPr>
          <w:rFonts w:ascii="Calibri" w:hAnsi="Calibri"/>
        </w:rPr>
        <w:t> </w:t>
      </w:r>
      <w:r w:rsidR="00687F6C" w:rsidRPr="00015E28">
        <w:t>:</w:t>
      </w:r>
    </w:p>
    <w:p w14:paraId="5430062E" w14:textId="77777777" w:rsidR="00015E28" w:rsidRDefault="00015E28" w:rsidP="00015E28">
      <w:pPr>
        <w:pStyle w:val="CelluleTableau"/>
        <w:spacing w:line="240" w:lineRule="auto"/>
        <w:ind w:left="0" w:right="0"/>
      </w:pPr>
    </w:p>
    <w:p w14:paraId="27074E3D" w14:textId="4A2EC667" w:rsidR="00552E8C" w:rsidRPr="00015E28" w:rsidRDefault="00552E8C" w:rsidP="00015E28">
      <w:pPr>
        <w:pStyle w:val="CelluleTableau"/>
        <w:spacing w:line="240" w:lineRule="auto"/>
        <w:ind w:left="0" w:right="0"/>
      </w:pPr>
      <w:r w:rsidRPr="00015E28">
        <w:t>Initiative récente</w:t>
      </w:r>
      <w:r w:rsidR="00687F6C" w:rsidRPr="00015E28">
        <w:t>.</w:t>
      </w:r>
    </w:p>
    <w:p w14:paraId="33711434" w14:textId="77777777" w:rsidR="00687F6C" w:rsidRPr="00015E28" w:rsidRDefault="00687F6C" w:rsidP="00015E28">
      <w:pPr>
        <w:pStyle w:val="CelluleTableau"/>
        <w:spacing w:line="240" w:lineRule="auto"/>
        <w:ind w:left="0" w:right="0"/>
      </w:pPr>
    </w:p>
    <w:p w14:paraId="1420D241" w14:textId="77777777" w:rsidR="00687F6C" w:rsidRPr="00015E28" w:rsidRDefault="00687F6C" w:rsidP="00015E28">
      <w:pPr>
        <w:pStyle w:val="CelluleTableau"/>
        <w:spacing w:line="240" w:lineRule="auto"/>
        <w:ind w:left="0" w:right="0"/>
      </w:pPr>
    </w:p>
    <w:p w14:paraId="5E514DDB" w14:textId="77777777" w:rsidR="00552E8C" w:rsidRPr="00015E28" w:rsidRDefault="00552E8C" w:rsidP="00015E28">
      <w:pPr>
        <w:pStyle w:val="EnteteTableau"/>
        <w:numPr>
          <w:ilvl w:val="0"/>
          <w:numId w:val="0"/>
        </w:numPr>
        <w:spacing w:before="0" w:after="0"/>
        <w:ind w:right="0"/>
      </w:pPr>
      <w:r w:rsidRPr="00015E28">
        <w:t>Groupe(s) cible(s) :</w:t>
      </w:r>
    </w:p>
    <w:p w14:paraId="5169FFCE" w14:textId="77777777" w:rsidR="00015E28" w:rsidRDefault="00015E28" w:rsidP="00015E28">
      <w:pPr>
        <w:pStyle w:val="CelluleTableau"/>
        <w:spacing w:line="240" w:lineRule="auto"/>
        <w:ind w:left="0" w:right="0"/>
      </w:pPr>
    </w:p>
    <w:p w14:paraId="7024A046" w14:textId="77777777" w:rsidR="00552E8C" w:rsidRPr="00015E28" w:rsidRDefault="00552E8C" w:rsidP="00015E28">
      <w:pPr>
        <w:pStyle w:val="CelluleTableau"/>
        <w:spacing w:line="240" w:lineRule="auto"/>
        <w:ind w:left="0" w:right="0"/>
      </w:pPr>
      <w:r w:rsidRPr="00015E28">
        <w:t>Personnes en situation de handicap (PSH).</w:t>
      </w:r>
    </w:p>
    <w:p w14:paraId="482595D7" w14:textId="77777777" w:rsidR="00552E8C" w:rsidRPr="00015E28" w:rsidRDefault="00552E8C" w:rsidP="00015E28">
      <w:pPr>
        <w:pStyle w:val="CelluleTableau"/>
        <w:spacing w:line="240" w:lineRule="auto"/>
        <w:ind w:left="0" w:right="0"/>
      </w:pPr>
      <w:r w:rsidRPr="00015E28">
        <w:t>Professionnels de l’accessibilité numérique.</w:t>
      </w:r>
    </w:p>
    <w:p w14:paraId="7F7E3F7F" w14:textId="77777777" w:rsidR="00687F6C" w:rsidRPr="00015E28" w:rsidRDefault="00687F6C" w:rsidP="00015E28">
      <w:pPr>
        <w:pStyle w:val="CelluleTableau"/>
        <w:spacing w:line="240" w:lineRule="auto"/>
        <w:ind w:left="0" w:right="0"/>
      </w:pPr>
    </w:p>
    <w:p w14:paraId="2956E26D" w14:textId="6A876DA8" w:rsidR="00015E28" w:rsidRDefault="00015E28">
      <w:pPr>
        <w:spacing w:after="160"/>
        <w:ind w:left="0" w:right="0" w:firstLine="0"/>
        <w:jc w:val="left"/>
        <w:rPr>
          <w:rFonts w:eastAsia="Times New Roman" w:cs="Times New Roman"/>
        </w:rPr>
      </w:pPr>
      <w:r>
        <w:br w:type="page"/>
      </w:r>
    </w:p>
    <w:p w14:paraId="64F22F0C" w14:textId="7D005631" w:rsidR="00552E8C" w:rsidRPr="00015E28" w:rsidRDefault="00552E8C" w:rsidP="00015E28">
      <w:pPr>
        <w:pStyle w:val="EnteteTableau"/>
        <w:numPr>
          <w:ilvl w:val="0"/>
          <w:numId w:val="0"/>
        </w:numPr>
        <w:spacing w:before="0" w:after="0"/>
        <w:ind w:right="0"/>
      </w:pPr>
      <w:r w:rsidRPr="00015E28">
        <w:lastRenderedPageBreak/>
        <w:t>Description</w:t>
      </w:r>
      <w:r w:rsidR="00687F6C" w:rsidRPr="00015E28">
        <w:rPr>
          <w:rFonts w:ascii="Calibri" w:hAnsi="Calibri"/>
        </w:rPr>
        <w:t> </w:t>
      </w:r>
      <w:r w:rsidR="00687F6C" w:rsidRPr="00015E28">
        <w:t>:</w:t>
      </w:r>
    </w:p>
    <w:p w14:paraId="11E08678" w14:textId="77777777" w:rsidR="00015E28" w:rsidRDefault="00015E28" w:rsidP="00015E28">
      <w:pPr>
        <w:pStyle w:val="CelluleTableau"/>
        <w:spacing w:line="240" w:lineRule="auto"/>
        <w:ind w:left="0" w:right="0"/>
      </w:pPr>
    </w:p>
    <w:p w14:paraId="3A03C650" w14:textId="77777777" w:rsidR="00552E8C" w:rsidRPr="00015E28" w:rsidRDefault="00552E8C" w:rsidP="00015E28">
      <w:pPr>
        <w:pStyle w:val="CelluleTableau"/>
        <w:spacing w:line="240" w:lineRule="auto"/>
        <w:ind w:left="0" w:right="0"/>
      </w:pPr>
      <w:r w:rsidRPr="00015E28">
        <w:t>Le projet « Compéthences » est une initiative innovante qui naît de la collaboration étroite entre Urbilog, une société spécialisée dans l’accessibilité numérique, et Compéthence, une entreprise adaptée dédiée à la formation et à l’intégration professionnelle des personnes en situation de handicap dans le secteur du numérique.</w:t>
      </w:r>
    </w:p>
    <w:p w14:paraId="10F7842C" w14:textId="77777777" w:rsidR="00687F6C" w:rsidRPr="00015E28" w:rsidRDefault="00687F6C" w:rsidP="00015E28">
      <w:pPr>
        <w:pStyle w:val="CelluleTableau"/>
        <w:spacing w:line="240" w:lineRule="auto"/>
        <w:ind w:left="0" w:right="0"/>
      </w:pPr>
    </w:p>
    <w:p w14:paraId="5C437E8D" w14:textId="77777777" w:rsidR="00687F6C" w:rsidRPr="00015E28" w:rsidRDefault="00552E8C" w:rsidP="00015E28">
      <w:pPr>
        <w:pStyle w:val="CelluleTableau"/>
        <w:spacing w:line="240" w:lineRule="auto"/>
        <w:ind w:left="0" w:right="0"/>
        <w:rPr>
          <w:color w:val="auto"/>
        </w:rPr>
      </w:pPr>
      <w:r w:rsidRPr="00015E28">
        <w:t xml:space="preserve">Ce projet vise à former les PSH aux métiers de l'accessibilité numérique, un domaine où Urbilog excelle depuis des années. En s’appuyant sur l’expertise </w:t>
      </w:r>
      <w:r w:rsidRPr="00015E28">
        <w:rPr>
          <w:color w:val="auto"/>
        </w:rPr>
        <w:t xml:space="preserve">technique d’Urbilog, Compéthence détecte, forme, et accompagne les PSH dans leur parcours vers l'emploi, leur permettant ainsi d’acquérir des compétences cruciales tout en contribuant à leur inclusion professionnelle. </w:t>
      </w:r>
    </w:p>
    <w:p w14:paraId="5569ABDD" w14:textId="77777777" w:rsidR="00687F6C" w:rsidRPr="00015E28" w:rsidRDefault="00687F6C" w:rsidP="00015E28">
      <w:pPr>
        <w:pStyle w:val="CelluleTableau"/>
        <w:spacing w:line="240" w:lineRule="auto"/>
        <w:ind w:left="0" w:right="0"/>
        <w:rPr>
          <w:color w:val="auto"/>
        </w:rPr>
      </w:pPr>
    </w:p>
    <w:p w14:paraId="206199D9" w14:textId="245ACB42" w:rsidR="00552E8C" w:rsidRPr="00015E28" w:rsidRDefault="00552E8C" w:rsidP="00015E28">
      <w:pPr>
        <w:pStyle w:val="CelluleTableau"/>
        <w:spacing w:line="240" w:lineRule="auto"/>
        <w:ind w:left="0" w:right="0"/>
        <w:rPr>
          <w:color w:val="auto"/>
        </w:rPr>
      </w:pPr>
      <w:r w:rsidRPr="00015E28">
        <w:rPr>
          <w:color w:val="auto"/>
        </w:rPr>
        <w:t>Le partenariat entre Urbilog et Compéthence est essentiel : Urbilog fournit l’expertise en matière d’accessibilité numérique, ainsi que les outils et les méthodes de travail, tandis que Compéthence se charge de l’adaptation des formations aux besoins spécifiques des PSH, garantissant ainsi une formation de haute qualité qui répond aux exigences du marché du travail.</w:t>
      </w:r>
    </w:p>
    <w:p w14:paraId="760FF531" w14:textId="77777777" w:rsidR="00687F6C" w:rsidRPr="00015E28" w:rsidRDefault="00687F6C" w:rsidP="00015E28">
      <w:pPr>
        <w:pStyle w:val="CelluleTableau"/>
        <w:spacing w:line="240" w:lineRule="auto"/>
        <w:ind w:left="0" w:right="0"/>
        <w:rPr>
          <w:color w:val="auto"/>
        </w:rPr>
      </w:pPr>
    </w:p>
    <w:p w14:paraId="5B57E941" w14:textId="77777777" w:rsidR="00552E8C" w:rsidRPr="00015E28" w:rsidRDefault="00552E8C" w:rsidP="00015E28">
      <w:pPr>
        <w:pStyle w:val="CelluleTableau"/>
        <w:spacing w:line="240" w:lineRule="auto"/>
        <w:ind w:left="0" w:right="0"/>
      </w:pPr>
      <w:r w:rsidRPr="00015E28">
        <w:t>Le projet est également soutenu par des partenaires institutionnels tels que l'Opco Atlas et l'AGEFIPH, ce qui renforce l'adéquation des formations proposées aux réalités du marché tout en s’assurant qu’elles soient accessibles aux PSH.</w:t>
      </w:r>
    </w:p>
    <w:p w14:paraId="5D3E4260" w14:textId="77777777" w:rsidR="00687F6C" w:rsidRPr="00015E28" w:rsidRDefault="00687F6C" w:rsidP="00015E28">
      <w:pPr>
        <w:pStyle w:val="CelluleTableau"/>
        <w:spacing w:line="240" w:lineRule="auto"/>
        <w:ind w:left="0" w:right="0"/>
      </w:pPr>
    </w:p>
    <w:p w14:paraId="3885342B" w14:textId="77777777" w:rsidR="00687F6C" w:rsidRPr="00015E28" w:rsidRDefault="00687F6C" w:rsidP="00015E28">
      <w:pPr>
        <w:pStyle w:val="CelluleTableau"/>
        <w:spacing w:line="240" w:lineRule="auto"/>
        <w:ind w:left="0" w:right="0"/>
      </w:pPr>
    </w:p>
    <w:p w14:paraId="569C5122" w14:textId="50008D46" w:rsidR="00552E8C" w:rsidRPr="00015E28" w:rsidRDefault="00552E8C" w:rsidP="00015E28">
      <w:pPr>
        <w:pStyle w:val="EnteteTableau"/>
        <w:numPr>
          <w:ilvl w:val="0"/>
          <w:numId w:val="0"/>
        </w:numPr>
        <w:spacing w:before="0" w:after="0"/>
        <w:ind w:right="0"/>
      </w:pPr>
      <w:r w:rsidRPr="00015E28">
        <w:t>Méthodologie</w:t>
      </w:r>
      <w:r w:rsidR="00687F6C" w:rsidRPr="00015E28">
        <w:rPr>
          <w:rFonts w:ascii="Calibri" w:hAnsi="Calibri"/>
        </w:rPr>
        <w:t> </w:t>
      </w:r>
      <w:r w:rsidR="00687F6C" w:rsidRPr="00015E28">
        <w:t>:</w:t>
      </w:r>
    </w:p>
    <w:p w14:paraId="6D935EA4" w14:textId="77777777" w:rsidR="00015E28" w:rsidRDefault="00015E28" w:rsidP="00015E28">
      <w:pPr>
        <w:pStyle w:val="CelluleTableau"/>
        <w:spacing w:line="240" w:lineRule="auto"/>
        <w:ind w:left="0" w:right="0"/>
      </w:pPr>
    </w:p>
    <w:p w14:paraId="45E15C1E" w14:textId="77777777" w:rsidR="00552E8C" w:rsidRPr="00015E28" w:rsidRDefault="00552E8C" w:rsidP="00015E28">
      <w:pPr>
        <w:pStyle w:val="CelluleTableau"/>
        <w:spacing w:line="240" w:lineRule="auto"/>
        <w:ind w:left="0" w:right="0"/>
      </w:pPr>
      <w:r w:rsidRPr="00015E28">
        <w:t>La méthodologie du projet repose sur une approche inclusive, collaborative et professionnelle. Urbilog fournit le cadre technique et les ressources pédagogiques nécessaires pour les formations, qui sont ensuite adaptées et dispensées par Compéthence pour répondre aux besoins des PSDH.</w:t>
      </w:r>
    </w:p>
    <w:p w14:paraId="40389E48" w14:textId="77777777" w:rsidR="00687F6C" w:rsidRPr="00015E28" w:rsidRDefault="00687F6C" w:rsidP="00015E28">
      <w:pPr>
        <w:pStyle w:val="CelluleTableau"/>
        <w:spacing w:line="240" w:lineRule="auto"/>
        <w:ind w:left="0" w:right="0"/>
      </w:pPr>
    </w:p>
    <w:p w14:paraId="571D008E" w14:textId="77777777" w:rsidR="00687F6C" w:rsidRPr="00015E28" w:rsidRDefault="00687F6C" w:rsidP="00015E28">
      <w:pPr>
        <w:pStyle w:val="CelluleTableau"/>
        <w:spacing w:line="240" w:lineRule="auto"/>
        <w:ind w:left="0" w:right="0"/>
      </w:pPr>
    </w:p>
    <w:p w14:paraId="7197D1C6" w14:textId="77777777" w:rsidR="00552E8C" w:rsidRPr="00015E28" w:rsidRDefault="00552E8C" w:rsidP="00015E28">
      <w:pPr>
        <w:pStyle w:val="CelluleTableau"/>
        <w:spacing w:line="240" w:lineRule="auto"/>
        <w:ind w:left="0" w:right="0"/>
      </w:pPr>
      <w:r w:rsidRPr="00015E28">
        <w:lastRenderedPageBreak/>
        <w:t>Les formations comprennent des modules théoriques sur les principes de l'accessibilité numérique, des ateliers pratiques en lien avec les projets clients d’Urbilog, et des stages en entreprise pour une immersion totale.</w:t>
      </w:r>
    </w:p>
    <w:p w14:paraId="685781D4" w14:textId="43BAE24F" w:rsidR="00552E8C" w:rsidRPr="00015E28" w:rsidRDefault="00552E8C" w:rsidP="00015E28">
      <w:pPr>
        <w:pStyle w:val="CelluleTableau"/>
        <w:spacing w:line="240" w:lineRule="auto"/>
        <w:ind w:left="0" w:right="0"/>
      </w:pPr>
      <w:r w:rsidRPr="00015E28">
        <w:t>Compétence assure un accompagnement continu des PSH tout au long de leur parcours, en s'assurant que les compétences acquises sont directement applicables dans un contexte professionnel.</w:t>
      </w:r>
    </w:p>
    <w:p w14:paraId="0EAB1D9B" w14:textId="77777777" w:rsidR="00687F6C" w:rsidRPr="00015E28" w:rsidRDefault="00687F6C" w:rsidP="00015E28">
      <w:pPr>
        <w:pStyle w:val="CelluleTableau"/>
        <w:spacing w:line="240" w:lineRule="auto"/>
        <w:ind w:left="0" w:right="0"/>
      </w:pPr>
    </w:p>
    <w:p w14:paraId="559B8ADD" w14:textId="77777777" w:rsidR="00687F6C" w:rsidRPr="00015E28" w:rsidRDefault="00687F6C" w:rsidP="00015E28">
      <w:pPr>
        <w:pStyle w:val="CelluleTableau"/>
        <w:spacing w:line="240" w:lineRule="auto"/>
        <w:ind w:left="0" w:right="0"/>
      </w:pPr>
    </w:p>
    <w:p w14:paraId="1CD65A35" w14:textId="3E928BDE" w:rsidR="00552E8C" w:rsidRPr="00015E28" w:rsidRDefault="00552E8C" w:rsidP="00015E28">
      <w:pPr>
        <w:pStyle w:val="Titre1"/>
        <w:numPr>
          <w:ilvl w:val="0"/>
          <w:numId w:val="0"/>
        </w:numPr>
        <w:spacing w:before="0" w:after="0" w:line="240" w:lineRule="auto"/>
        <w:ind w:right="0"/>
        <w:rPr>
          <w:szCs w:val="24"/>
        </w:rPr>
      </w:pPr>
      <w:r w:rsidRPr="00015E28">
        <w:rPr>
          <w:szCs w:val="24"/>
        </w:rPr>
        <w:t>DOMAINE</w:t>
      </w:r>
      <w:r w:rsidR="00687F6C" w:rsidRPr="00015E28">
        <w:rPr>
          <w:rFonts w:ascii="Calibri" w:hAnsi="Calibri" w:cs="Calibri"/>
          <w:szCs w:val="24"/>
        </w:rPr>
        <w:t> </w:t>
      </w:r>
      <w:r w:rsidR="00687F6C" w:rsidRPr="00015E28">
        <w:rPr>
          <w:szCs w:val="24"/>
        </w:rPr>
        <w:t>:</w:t>
      </w:r>
    </w:p>
    <w:p w14:paraId="664F6C15" w14:textId="77777777" w:rsidR="00552E8C" w:rsidRDefault="00552E8C" w:rsidP="00015E28">
      <w:pPr>
        <w:spacing w:after="0" w:line="240" w:lineRule="auto"/>
        <w:ind w:left="0" w:right="0" w:firstLine="0"/>
        <w:jc w:val="left"/>
        <w:rPr>
          <w:color w:val="auto"/>
        </w:rPr>
      </w:pPr>
    </w:p>
    <w:p w14:paraId="49A2AA7F" w14:textId="77777777" w:rsidR="00015E28" w:rsidRPr="00015E28" w:rsidRDefault="00015E28" w:rsidP="00015E28">
      <w:pPr>
        <w:spacing w:after="0" w:line="240" w:lineRule="auto"/>
        <w:ind w:left="0" w:right="0" w:firstLine="0"/>
        <w:jc w:val="left"/>
        <w:rPr>
          <w:color w:val="auto"/>
        </w:rPr>
      </w:pPr>
    </w:p>
    <w:p w14:paraId="5E109789" w14:textId="3E99CD75" w:rsidR="00552E8C" w:rsidRPr="00015E28" w:rsidRDefault="00552E8C" w:rsidP="00015E28">
      <w:pPr>
        <w:pStyle w:val="EnteteTableau"/>
        <w:numPr>
          <w:ilvl w:val="0"/>
          <w:numId w:val="0"/>
        </w:numPr>
        <w:spacing w:before="0" w:after="0"/>
        <w:ind w:right="0"/>
      </w:pPr>
      <w:r w:rsidRPr="00015E28">
        <w:t>Facilitation de l'accès à l'emploi</w:t>
      </w:r>
      <w:r w:rsidR="006D2057" w:rsidRPr="00015E28">
        <w:rPr>
          <w:rFonts w:ascii="Calibri" w:hAnsi="Calibri"/>
        </w:rPr>
        <w:t> </w:t>
      </w:r>
      <w:r w:rsidR="006D2057" w:rsidRPr="00015E28">
        <w:t>:</w:t>
      </w:r>
    </w:p>
    <w:p w14:paraId="007399CA" w14:textId="77777777" w:rsidR="00015E28" w:rsidRDefault="00015E28" w:rsidP="00015E28">
      <w:pPr>
        <w:pStyle w:val="CelluleTableau"/>
        <w:spacing w:line="240" w:lineRule="auto"/>
        <w:ind w:left="0" w:right="0"/>
      </w:pPr>
    </w:p>
    <w:p w14:paraId="3D924F0B" w14:textId="77777777" w:rsidR="00552E8C" w:rsidRPr="00015E28" w:rsidRDefault="00552E8C" w:rsidP="00015E28">
      <w:pPr>
        <w:pStyle w:val="CelluleTableau"/>
        <w:spacing w:line="240" w:lineRule="auto"/>
        <w:ind w:left="0" w:right="0"/>
      </w:pPr>
      <w:r w:rsidRPr="00015E28">
        <w:t>Programmes conçus pour améliorer directement l'accès aux opportunités d'emploi dans les métiers du numérique pour les PSDH, en collaboration avec des entreprises telles qu’Urbilog.</w:t>
      </w:r>
    </w:p>
    <w:p w14:paraId="170C9EB0" w14:textId="77777777" w:rsidR="00687F6C" w:rsidRPr="00015E28" w:rsidRDefault="00687F6C" w:rsidP="00015E28">
      <w:pPr>
        <w:pStyle w:val="CelluleTableau"/>
        <w:spacing w:line="240" w:lineRule="auto"/>
        <w:ind w:left="0" w:right="0"/>
      </w:pPr>
    </w:p>
    <w:p w14:paraId="60731076" w14:textId="14AB1B46" w:rsidR="00552E8C" w:rsidRPr="00015E28" w:rsidRDefault="00552E8C" w:rsidP="00015E28">
      <w:pPr>
        <w:pStyle w:val="CelluleTableau"/>
        <w:numPr>
          <w:ilvl w:val="0"/>
          <w:numId w:val="31"/>
        </w:numPr>
        <w:spacing w:line="240" w:lineRule="auto"/>
        <w:ind w:right="0"/>
      </w:pPr>
      <w:r w:rsidRPr="00015E28">
        <w:t>Renforcement des compétences transversales</w:t>
      </w:r>
      <w:r w:rsidR="00687F6C" w:rsidRPr="00015E28">
        <w:t>.</w:t>
      </w:r>
    </w:p>
    <w:p w14:paraId="394B5C87" w14:textId="77777777" w:rsidR="00552E8C" w:rsidRPr="00015E28" w:rsidRDefault="00552E8C" w:rsidP="00015E28">
      <w:pPr>
        <w:pStyle w:val="CelluleTableau"/>
        <w:numPr>
          <w:ilvl w:val="0"/>
          <w:numId w:val="31"/>
        </w:numPr>
        <w:spacing w:line="240" w:lineRule="auto"/>
        <w:ind w:right="0"/>
      </w:pPr>
      <w:r w:rsidRPr="00015E28">
        <w:t>Développement des aptitudes émotionnelles et relationnelles nécessaires pour réussir dans un environnement professionnel diversifié.</w:t>
      </w:r>
    </w:p>
    <w:p w14:paraId="228CEC6A" w14:textId="2A1FC4ED" w:rsidR="00552E8C" w:rsidRPr="00015E28" w:rsidRDefault="00552E8C" w:rsidP="00015E28">
      <w:pPr>
        <w:pStyle w:val="CelluleTableau"/>
        <w:numPr>
          <w:ilvl w:val="0"/>
          <w:numId w:val="31"/>
        </w:numPr>
        <w:spacing w:line="240" w:lineRule="auto"/>
        <w:ind w:right="0"/>
      </w:pPr>
      <w:r w:rsidRPr="00015E28">
        <w:t>Amélioration des compétences numériques</w:t>
      </w:r>
      <w:r w:rsidR="00687F6C" w:rsidRPr="00015E28">
        <w:t>.</w:t>
      </w:r>
    </w:p>
    <w:p w14:paraId="1356597B" w14:textId="77777777" w:rsidR="00552E8C" w:rsidRPr="00015E28" w:rsidRDefault="00552E8C" w:rsidP="00015E28">
      <w:pPr>
        <w:pStyle w:val="CelluleTableau"/>
        <w:numPr>
          <w:ilvl w:val="0"/>
          <w:numId w:val="31"/>
        </w:numPr>
        <w:spacing w:line="240" w:lineRule="auto"/>
        <w:ind w:right="0"/>
      </w:pPr>
      <w:r w:rsidRPr="00015E28">
        <w:t>Acquisition de compétences techniques en matière de développement web et d’accessibilité numérique, essentielles pour maximiser l’utilisation des technologies assistives.</w:t>
      </w:r>
    </w:p>
    <w:p w14:paraId="69A754CC" w14:textId="3F9F5686" w:rsidR="00552E8C" w:rsidRPr="00015E28" w:rsidRDefault="00552E8C" w:rsidP="00015E28">
      <w:pPr>
        <w:pStyle w:val="EnteteTableau"/>
        <w:numPr>
          <w:ilvl w:val="0"/>
          <w:numId w:val="31"/>
        </w:numPr>
        <w:spacing w:before="0" w:after="0"/>
        <w:ind w:right="0"/>
        <w:rPr>
          <w:b w:val="0"/>
        </w:rPr>
      </w:pPr>
      <w:r w:rsidRPr="00015E28">
        <w:rPr>
          <w:b w:val="0"/>
        </w:rPr>
        <w:t>Formation spécialisée pour les éducateurs et professionnels</w:t>
      </w:r>
      <w:r w:rsidR="00687F6C" w:rsidRPr="00015E28">
        <w:rPr>
          <w:rFonts w:ascii="Calibri" w:hAnsi="Calibri"/>
          <w:b w:val="0"/>
        </w:rPr>
        <w:t> </w:t>
      </w:r>
      <w:r w:rsidR="00687F6C" w:rsidRPr="00015E28">
        <w:rPr>
          <w:b w:val="0"/>
        </w:rPr>
        <w:t>:</w:t>
      </w:r>
    </w:p>
    <w:p w14:paraId="13FB77D7" w14:textId="1B87CA88" w:rsidR="00552E8C" w:rsidRPr="00015E28" w:rsidRDefault="00552E8C" w:rsidP="00015E28">
      <w:pPr>
        <w:pStyle w:val="CelluleTableau"/>
        <w:numPr>
          <w:ilvl w:val="0"/>
          <w:numId w:val="31"/>
        </w:numPr>
        <w:spacing w:line="240" w:lineRule="auto"/>
        <w:ind w:right="0"/>
      </w:pPr>
      <w:r w:rsidRPr="00015E28">
        <w:t>Outils et services de compensation du handicap</w:t>
      </w:r>
      <w:r w:rsidR="00687F6C" w:rsidRPr="00015E28">
        <w:t>.</w:t>
      </w:r>
    </w:p>
    <w:p w14:paraId="31312981" w14:textId="77777777" w:rsidR="00552E8C" w:rsidRPr="00015E28" w:rsidRDefault="00552E8C" w:rsidP="00015E28">
      <w:pPr>
        <w:pStyle w:val="CelluleTableau"/>
        <w:numPr>
          <w:ilvl w:val="0"/>
          <w:numId w:val="31"/>
        </w:numPr>
        <w:spacing w:line="240" w:lineRule="auto"/>
        <w:ind w:right="0"/>
      </w:pPr>
      <w:r w:rsidRPr="00015E28">
        <w:t>Fourniture de technologies, méthodes et services spécifiques pour faciliter l’accès à la formation et à l’emploi, développés grâce à l’expertise d’Urbilog.</w:t>
      </w:r>
    </w:p>
    <w:p w14:paraId="11101967" w14:textId="77777777" w:rsidR="00687F6C" w:rsidRPr="00015E28" w:rsidRDefault="00687F6C" w:rsidP="00015E28">
      <w:pPr>
        <w:pStyle w:val="Paragraphedeliste"/>
        <w:spacing w:after="0" w:line="240" w:lineRule="auto"/>
        <w:ind w:left="0" w:right="0"/>
        <w:jc w:val="left"/>
      </w:pPr>
    </w:p>
    <w:p w14:paraId="1BBBDCBE" w14:textId="77777777" w:rsidR="00687F6C" w:rsidRPr="00015E28" w:rsidRDefault="00687F6C" w:rsidP="00015E28">
      <w:pPr>
        <w:pStyle w:val="CelluleTableau"/>
        <w:spacing w:line="240" w:lineRule="auto"/>
        <w:ind w:left="0" w:right="0"/>
      </w:pPr>
    </w:p>
    <w:p w14:paraId="22B14042" w14:textId="0C4B6C32" w:rsidR="00015E28" w:rsidRDefault="00015E28">
      <w:pPr>
        <w:spacing w:after="160"/>
        <w:ind w:left="0" w:right="0" w:firstLine="0"/>
        <w:jc w:val="left"/>
        <w:rPr>
          <w:b/>
        </w:rPr>
      </w:pPr>
      <w:r>
        <w:br w:type="page"/>
      </w:r>
    </w:p>
    <w:p w14:paraId="44827E46" w14:textId="77777777" w:rsidR="00687F6C" w:rsidRPr="00015E28" w:rsidRDefault="00687F6C" w:rsidP="00015E28">
      <w:pPr>
        <w:pStyle w:val="EnteteTableau"/>
        <w:numPr>
          <w:ilvl w:val="0"/>
          <w:numId w:val="0"/>
        </w:numPr>
        <w:spacing w:before="0" w:after="0"/>
        <w:ind w:right="0"/>
      </w:pPr>
    </w:p>
    <w:p w14:paraId="0DB1CA03" w14:textId="7E513EE7" w:rsidR="00552E8C" w:rsidRPr="00015E28" w:rsidRDefault="00552E8C" w:rsidP="00015E28">
      <w:pPr>
        <w:pStyle w:val="Titre1"/>
        <w:numPr>
          <w:ilvl w:val="0"/>
          <w:numId w:val="0"/>
        </w:numPr>
        <w:spacing w:before="0" w:after="0" w:line="240" w:lineRule="auto"/>
        <w:ind w:right="0"/>
        <w:rPr>
          <w:szCs w:val="24"/>
        </w:rPr>
      </w:pPr>
      <w:r w:rsidRPr="00015E28">
        <w:rPr>
          <w:szCs w:val="24"/>
        </w:rPr>
        <w:t>PRODUITS / RÉSULTATS</w:t>
      </w:r>
      <w:r w:rsidR="00687F6C" w:rsidRPr="00015E28">
        <w:rPr>
          <w:rFonts w:ascii="Calibri" w:hAnsi="Calibri" w:cs="Calibri"/>
          <w:szCs w:val="24"/>
        </w:rPr>
        <w:t> </w:t>
      </w:r>
      <w:r w:rsidR="00687F6C" w:rsidRPr="00015E28">
        <w:rPr>
          <w:szCs w:val="24"/>
        </w:rPr>
        <w:t>:</w:t>
      </w:r>
    </w:p>
    <w:p w14:paraId="5D33218A" w14:textId="77777777" w:rsidR="00015E28" w:rsidRDefault="00015E28" w:rsidP="00015E28">
      <w:pPr>
        <w:pStyle w:val="EnteteTableau"/>
        <w:numPr>
          <w:ilvl w:val="0"/>
          <w:numId w:val="0"/>
        </w:numPr>
        <w:spacing w:before="0" w:after="0"/>
        <w:ind w:right="0"/>
      </w:pPr>
    </w:p>
    <w:p w14:paraId="0D9A8A5F" w14:textId="77777777" w:rsidR="00015E28" w:rsidRDefault="00015E28" w:rsidP="00015E28">
      <w:pPr>
        <w:pStyle w:val="EnteteTableau"/>
        <w:numPr>
          <w:ilvl w:val="0"/>
          <w:numId w:val="0"/>
        </w:numPr>
        <w:spacing w:before="0" w:after="0"/>
        <w:ind w:right="0"/>
      </w:pPr>
    </w:p>
    <w:p w14:paraId="1A0DA272" w14:textId="795E540A" w:rsidR="00552E8C" w:rsidRPr="00015E28" w:rsidRDefault="00552E8C" w:rsidP="00015E28">
      <w:pPr>
        <w:pStyle w:val="EnteteTableau"/>
        <w:numPr>
          <w:ilvl w:val="0"/>
          <w:numId w:val="0"/>
        </w:numPr>
        <w:spacing w:before="0" w:after="0"/>
        <w:ind w:right="0"/>
      </w:pPr>
      <w:r w:rsidRPr="00015E28">
        <w:t>Type de produit</w:t>
      </w:r>
      <w:r w:rsidR="00687F6C" w:rsidRPr="00015E28">
        <w:rPr>
          <w:rFonts w:ascii="Calibri" w:hAnsi="Calibri"/>
        </w:rPr>
        <w:t> </w:t>
      </w:r>
      <w:r w:rsidR="00687F6C" w:rsidRPr="00015E28">
        <w:t>:</w:t>
      </w:r>
    </w:p>
    <w:p w14:paraId="7CBB0CD0" w14:textId="77777777" w:rsidR="00015E28" w:rsidRDefault="00015E28" w:rsidP="00015E28">
      <w:pPr>
        <w:pStyle w:val="CelluleTableau"/>
        <w:spacing w:line="240" w:lineRule="auto"/>
        <w:ind w:left="0" w:right="0"/>
      </w:pPr>
    </w:p>
    <w:p w14:paraId="181DBDB8" w14:textId="77777777" w:rsidR="00552E8C" w:rsidRPr="00015E28" w:rsidRDefault="00552E8C" w:rsidP="00015E28">
      <w:pPr>
        <w:pStyle w:val="CelluleTableau"/>
        <w:spacing w:line="240" w:lineRule="auto"/>
        <w:ind w:left="0" w:right="0"/>
      </w:pPr>
      <w:r w:rsidRPr="00015E28">
        <w:t>Matériel de formation, ressources en ligne, logiciels spécialisés, rapports d’audit d'accessibilité, vidéos pédagogiques.</w:t>
      </w:r>
    </w:p>
    <w:p w14:paraId="32CB02DD" w14:textId="77777777" w:rsidR="00687F6C" w:rsidRPr="00015E28" w:rsidRDefault="00687F6C" w:rsidP="00015E28">
      <w:pPr>
        <w:pStyle w:val="CelluleTableau"/>
        <w:spacing w:line="240" w:lineRule="auto"/>
        <w:ind w:left="0" w:right="0"/>
      </w:pPr>
    </w:p>
    <w:p w14:paraId="31399C3F" w14:textId="77777777" w:rsidR="00687F6C" w:rsidRPr="00015E28" w:rsidRDefault="00687F6C" w:rsidP="00015E28">
      <w:pPr>
        <w:pStyle w:val="CelluleTableau"/>
        <w:spacing w:line="240" w:lineRule="auto"/>
        <w:ind w:left="0" w:right="0"/>
      </w:pPr>
    </w:p>
    <w:p w14:paraId="4803E833" w14:textId="52323FED" w:rsidR="00552E8C" w:rsidRPr="00015E28" w:rsidRDefault="00552E8C" w:rsidP="00015E28">
      <w:pPr>
        <w:pStyle w:val="EnteteTableau"/>
        <w:numPr>
          <w:ilvl w:val="0"/>
          <w:numId w:val="0"/>
        </w:numPr>
        <w:spacing w:before="0" w:after="0"/>
        <w:ind w:right="0"/>
      </w:pPr>
      <w:r w:rsidRPr="00015E28">
        <w:t>Brève description</w:t>
      </w:r>
      <w:r w:rsidR="00687F6C" w:rsidRPr="00015E28">
        <w:rPr>
          <w:rFonts w:ascii="Calibri" w:hAnsi="Calibri"/>
        </w:rPr>
        <w:t> </w:t>
      </w:r>
      <w:r w:rsidR="00687F6C" w:rsidRPr="00015E28">
        <w:t>:</w:t>
      </w:r>
    </w:p>
    <w:p w14:paraId="2EE79182" w14:textId="77777777" w:rsidR="00015E28" w:rsidRDefault="00015E28" w:rsidP="00015E28">
      <w:pPr>
        <w:pStyle w:val="CelluleTableau"/>
        <w:spacing w:line="240" w:lineRule="auto"/>
        <w:ind w:left="0" w:right="0"/>
      </w:pPr>
    </w:p>
    <w:p w14:paraId="4E64C297" w14:textId="117535CA" w:rsidR="00552E8C" w:rsidRPr="00015E28" w:rsidRDefault="00552E8C" w:rsidP="00015E28">
      <w:pPr>
        <w:pStyle w:val="CelluleTableau"/>
        <w:spacing w:line="240" w:lineRule="auto"/>
        <w:ind w:left="0" w:right="0"/>
        <w:rPr>
          <w:color w:val="auto"/>
        </w:rPr>
      </w:pPr>
      <w:r w:rsidRPr="00015E28">
        <w:t xml:space="preserve">Grâce à la collaboration entre Urbilog et Compéthence, le projet a généré une série de formations en ligne et de ressources numériques adaptées </w:t>
      </w:r>
      <w:r w:rsidRPr="00015E28">
        <w:rPr>
          <w:color w:val="auto"/>
        </w:rPr>
        <w:t>pour les PSDH. Les outils assistifs développés par Urbilog, en combinaison avec les méthodes pédagogiques de Compéthence, permettent une acquisition de compétences spécialisées et favorisent l’inclusion professionnelle des PSH dans le secteur numérique. Des rapports d’audit et des solutions logicielles spécifiques ont également été produits pour améliorer l’accessibilité numérique des sites web clients.</w:t>
      </w:r>
    </w:p>
    <w:p w14:paraId="6CCB3B04" w14:textId="77777777" w:rsidR="00687F6C" w:rsidRPr="00015E28" w:rsidRDefault="00687F6C" w:rsidP="00015E28">
      <w:pPr>
        <w:pStyle w:val="CelluleTableau"/>
        <w:spacing w:line="240" w:lineRule="auto"/>
        <w:ind w:left="0" w:right="0"/>
        <w:rPr>
          <w:color w:val="auto"/>
        </w:rPr>
      </w:pPr>
    </w:p>
    <w:p w14:paraId="4BA3F313" w14:textId="77777777" w:rsidR="00687F6C" w:rsidRPr="00015E28" w:rsidRDefault="00687F6C" w:rsidP="00015E28">
      <w:pPr>
        <w:pStyle w:val="CelluleTableau"/>
        <w:spacing w:line="240" w:lineRule="auto"/>
        <w:ind w:left="0" w:right="0"/>
      </w:pPr>
    </w:p>
    <w:p w14:paraId="0A89E7CF" w14:textId="02272025" w:rsidR="00552E8C" w:rsidRPr="00015E28" w:rsidRDefault="00552E8C" w:rsidP="00015E28">
      <w:pPr>
        <w:pStyle w:val="Titre1"/>
        <w:numPr>
          <w:ilvl w:val="0"/>
          <w:numId w:val="0"/>
        </w:numPr>
        <w:spacing w:before="0" w:after="0" w:line="240" w:lineRule="auto"/>
        <w:ind w:right="0"/>
        <w:rPr>
          <w:szCs w:val="24"/>
        </w:rPr>
      </w:pPr>
      <w:r w:rsidRPr="00015E28">
        <w:rPr>
          <w:szCs w:val="24"/>
        </w:rPr>
        <w:t>IMPACT ET TRANSFÉRABILITÉ</w:t>
      </w:r>
      <w:r w:rsidR="00687F6C" w:rsidRPr="00015E28">
        <w:rPr>
          <w:rFonts w:ascii="Calibri" w:hAnsi="Calibri" w:cs="Calibri"/>
          <w:szCs w:val="24"/>
        </w:rPr>
        <w:t> </w:t>
      </w:r>
      <w:r w:rsidR="00687F6C" w:rsidRPr="00015E28">
        <w:rPr>
          <w:szCs w:val="24"/>
        </w:rPr>
        <w:t>:</w:t>
      </w:r>
    </w:p>
    <w:p w14:paraId="04C5EB24" w14:textId="77777777" w:rsidR="00015E28" w:rsidRDefault="00015E28" w:rsidP="00015E28">
      <w:pPr>
        <w:pStyle w:val="EnteteTableau"/>
        <w:numPr>
          <w:ilvl w:val="0"/>
          <w:numId w:val="0"/>
        </w:numPr>
        <w:spacing w:before="0" w:after="0"/>
        <w:ind w:right="0"/>
      </w:pPr>
    </w:p>
    <w:p w14:paraId="37DA7F6C" w14:textId="77777777" w:rsidR="00015E28" w:rsidRDefault="00015E28" w:rsidP="00015E28">
      <w:pPr>
        <w:pStyle w:val="EnteteTableau"/>
        <w:numPr>
          <w:ilvl w:val="0"/>
          <w:numId w:val="0"/>
        </w:numPr>
        <w:spacing w:before="0" w:after="0"/>
        <w:ind w:right="0"/>
      </w:pPr>
    </w:p>
    <w:p w14:paraId="678EB894" w14:textId="181ABD88" w:rsidR="00552E8C" w:rsidRPr="00015E28" w:rsidRDefault="00552E8C" w:rsidP="00015E28">
      <w:pPr>
        <w:pStyle w:val="EnteteTableau"/>
        <w:numPr>
          <w:ilvl w:val="0"/>
          <w:numId w:val="0"/>
        </w:numPr>
        <w:spacing w:before="0" w:after="0"/>
        <w:ind w:right="0"/>
      </w:pPr>
      <w:r w:rsidRPr="00015E28">
        <w:t>Impact sur les groupes cibles</w:t>
      </w:r>
      <w:r w:rsidR="00687F6C" w:rsidRPr="00015E28">
        <w:rPr>
          <w:rFonts w:ascii="Calibri" w:hAnsi="Calibri"/>
        </w:rPr>
        <w:t> </w:t>
      </w:r>
      <w:r w:rsidR="00687F6C" w:rsidRPr="00015E28">
        <w:t>:</w:t>
      </w:r>
    </w:p>
    <w:p w14:paraId="694BF16F" w14:textId="77777777" w:rsidR="00552E8C" w:rsidRPr="00015E28" w:rsidRDefault="00552E8C" w:rsidP="00015E28">
      <w:pPr>
        <w:pStyle w:val="CelluleTableau"/>
        <w:spacing w:line="240" w:lineRule="auto"/>
        <w:ind w:left="0" w:right="0"/>
      </w:pPr>
      <w:r w:rsidRPr="00015E28">
        <w:t>Le projet a considérablement amélioré l'intégration professionnelle des PSH en leur offrant des compétences très recherchées dans le domaine de l’accessibilité numérique. Il a également sensibilisé de nombreuses entreprises à l’importance de l’inclusion et de la diversité, en leur fournissant des solutions d'accessibilité numérique robustes.</w:t>
      </w:r>
    </w:p>
    <w:p w14:paraId="54E5D5A2" w14:textId="77777777" w:rsidR="00687F6C" w:rsidRPr="00015E28" w:rsidRDefault="00687F6C" w:rsidP="00015E28">
      <w:pPr>
        <w:pStyle w:val="CelluleTableau"/>
        <w:spacing w:line="240" w:lineRule="auto"/>
        <w:ind w:left="0" w:right="0"/>
      </w:pPr>
    </w:p>
    <w:p w14:paraId="10418FC8" w14:textId="545726AD" w:rsidR="00015E28" w:rsidRDefault="00015E28">
      <w:pPr>
        <w:spacing w:after="160"/>
        <w:ind w:left="0" w:right="0" w:firstLine="0"/>
        <w:jc w:val="left"/>
        <w:rPr>
          <w:rFonts w:eastAsia="Times New Roman" w:cs="Times New Roman"/>
        </w:rPr>
      </w:pPr>
      <w:r>
        <w:br w:type="page"/>
      </w:r>
    </w:p>
    <w:p w14:paraId="2E73AFE3" w14:textId="77777777" w:rsidR="00687F6C" w:rsidRPr="00015E28" w:rsidRDefault="00687F6C" w:rsidP="00015E28">
      <w:pPr>
        <w:pStyle w:val="CelluleTableau"/>
        <w:spacing w:line="240" w:lineRule="auto"/>
        <w:ind w:left="0" w:right="0"/>
      </w:pPr>
    </w:p>
    <w:p w14:paraId="217A3034" w14:textId="29C7D14B" w:rsidR="00552E8C" w:rsidRPr="00015E28" w:rsidRDefault="00552E8C" w:rsidP="00015E28">
      <w:pPr>
        <w:pStyle w:val="EnteteTableau"/>
        <w:numPr>
          <w:ilvl w:val="0"/>
          <w:numId w:val="0"/>
        </w:numPr>
        <w:spacing w:before="0" w:after="0"/>
        <w:ind w:right="0"/>
      </w:pPr>
      <w:r w:rsidRPr="00015E28">
        <w:t>Brève description</w:t>
      </w:r>
      <w:r w:rsidR="00687F6C" w:rsidRPr="00015E28">
        <w:rPr>
          <w:rFonts w:ascii="Calibri" w:hAnsi="Calibri"/>
        </w:rPr>
        <w:t> </w:t>
      </w:r>
      <w:r w:rsidR="00687F6C" w:rsidRPr="00015E28">
        <w:t>:</w:t>
      </w:r>
    </w:p>
    <w:p w14:paraId="272F66AA" w14:textId="77777777" w:rsidR="00015E28" w:rsidRDefault="00015E28" w:rsidP="00015E28">
      <w:pPr>
        <w:pStyle w:val="CelluleTableau"/>
        <w:spacing w:line="240" w:lineRule="auto"/>
        <w:ind w:left="0" w:right="0"/>
      </w:pPr>
    </w:p>
    <w:p w14:paraId="671F6270" w14:textId="66D64A47" w:rsidR="00777167" w:rsidRPr="00015E28" w:rsidRDefault="00552E8C" w:rsidP="00015E28">
      <w:pPr>
        <w:pStyle w:val="CelluleTableau"/>
        <w:spacing w:line="240" w:lineRule="auto"/>
        <w:ind w:left="0" w:right="0"/>
      </w:pPr>
      <w:bookmarkStart w:id="0" w:name="_GoBack"/>
      <w:bookmarkEnd w:id="0"/>
      <w:r w:rsidRPr="00015E28">
        <w:t>Cette pratique peut être adaptée à d'autres contextes ou régions en ajustant les formations aux besoins locaux et en établissant des partenariats similaires entre entreprises technologiques et entreprises adaptées. Le modèle collaboratif entre Urbilog et Compéthence peut également être étendu à d’autres secteurs professionnels nécessitant des compétences spécifiques.</w:t>
      </w:r>
    </w:p>
    <w:sectPr w:rsidR="00777167" w:rsidRPr="00015E28"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F8293" w14:textId="77777777" w:rsidR="00C74B87" w:rsidRDefault="00C74B87" w:rsidP="008D2C54">
      <w:r>
        <w:separator/>
      </w:r>
    </w:p>
  </w:endnote>
  <w:endnote w:type="continuationSeparator" w:id="0">
    <w:p w14:paraId="1A7D50B4" w14:textId="77777777" w:rsidR="00C74B87" w:rsidRDefault="00C74B87"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19D39EC0-7516-4E72-9F66-59846913D2BC}"/>
    <w:embedBold r:id="rId2" w:fontKey="{24D07959-67FA-4B14-8740-8E1AF0B54211}"/>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1193B19D-FE7D-4484-B63F-198555B7E423}"/>
    <w:embedBold r:id="rId4" w:subsetted="1" w:fontKey="{7A8EF41B-51DC-467D-8B4B-7D9F97FF2BF9}"/>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40F1DCF" w14:textId="77777777" w:rsidR="001C06E4" w:rsidRDefault="001C06E4">
        <w:pPr>
          <w:pStyle w:val="Pieddepage"/>
          <w:jc w:val="right"/>
        </w:pPr>
        <w:r>
          <w:fldChar w:fldCharType="begin"/>
        </w:r>
        <w:r>
          <w:instrText>PAGE   \* MERGEFORMAT</w:instrText>
        </w:r>
        <w:r>
          <w:fldChar w:fldCharType="separate"/>
        </w:r>
        <w:r w:rsidR="00015E28">
          <w:rPr>
            <w:noProof/>
          </w:rPr>
          <w:t>5</w:t>
        </w:r>
        <w:r>
          <w:fldChar w:fldCharType="end"/>
        </w:r>
      </w:p>
    </w:sdtContent>
  </w:sdt>
  <w:p w14:paraId="42F769C3"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99FB9" w14:textId="77777777" w:rsidR="00C74B87" w:rsidRDefault="00C74B87" w:rsidP="008D2C54">
      <w:r>
        <w:separator/>
      </w:r>
    </w:p>
  </w:footnote>
  <w:footnote w:type="continuationSeparator" w:id="0">
    <w:p w14:paraId="4E7D8C41" w14:textId="77777777" w:rsidR="00C74B87" w:rsidRDefault="00C74B87"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D437" w14:textId="64871D68" w:rsidR="008D2C54" w:rsidRDefault="00015E28" w:rsidP="00015E28">
    <w:pPr>
      <w:pStyle w:val="En-tte"/>
      <w:jc w:val="both"/>
    </w:pPr>
    <w:r>
      <w:rPr>
        <w:noProof/>
        <w:lang w:val="fr-BE" w:eastAsia="fr-BE"/>
      </w:rPr>
      <w:drawing>
        <wp:inline distT="0" distB="0" distL="0" distR="0" wp14:anchorId="2E7FFB3F" wp14:editId="7ED658E7">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1"/>
                  <a:srcRect/>
                  <a:stretch>
                    <a:fillRect/>
                  </a:stretch>
                </pic:blipFill>
                <pic:spPr>
                  <a:xfrm>
                    <a:off x="0" y="0"/>
                    <a:ext cx="2872008" cy="589154"/>
                  </a:xfrm>
                  <a:prstGeom prst="rect">
                    <a:avLst/>
                  </a:prstGeom>
                  <a:ln/>
                </pic:spPr>
              </pic:pic>
            </a:graphicData>
          </a:graphic>
        </wp:inline>
      </w:drawing>
    </w:r>
    <w:r w:rsidR="00F8340D">
      <w:rPr>
        <w:noProof/>
        <w:lang w:val="fr-BE" w:eastAsia="fr-BE"/>
      </w:rPr>
      <w:drawing>
        <wp:anchor distT="0" distB="0" distL="114300" distR="114300" simplePos="0" relativeHeight="251659264" behindDoc="0" locked="0" layoutInCell="1" allowOverlap="1" wp14:anchorId="72634875" wp14:editId="65DF9E59">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2B460B"/>
    <w:multiLevelType w:val="hybridMultilevel"/>
    <w:tmpl w:val="D5BC2E7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C57535"/>
    <w:multiLevelType w:val="hybridMultilevel"/>
    <w:tmpl w:val="A07C3C04"/>
    <w:lvl w:ilvl="0" w:tplc="B95694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8FE6E">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D26962">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56FF52">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C61D2">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D09C94">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0467E">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A650A">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546014">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37175B5"/>
    <w:multiLevelType w:val="hybridMultilevel"/>
    <w:tmpl w:val="30AEF3E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DE34CD"/>
    <w:multiLevelType w:val="hybridMultilevel"/>
    <w:tmpl w:val="7A2E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3"/>
  </w:num>
  <w:num w:numId="4">
    <w:abstractNumId w:val="28"/>
  </w:num>
  <w:num w:numId="5">
    <w:abstractNumId w:val="2"/>
  </w:num>
  <w:num w:numId="6">
    <w:abstractNumId w:val="3"/>
  </w:num>
  <w:num w:numId="7">
    <w:abstractNumId w:val="24"/>
  </w:num>
  <w:num w:numId="8">
    <w:abstractNumId w:val="29"/>
  </w:num>
  <w:num w:numId="9">
    <w:abstractNumId w:val="7"/>
  </w:num>
  <w:num w:numId="10">
    <w:abstractNumId w:val="21"/>
  </w:num>
  <w:num w:numId="11">
    <w:abstractNumId w:val="23"/>
  </w:num>
  <w:num w:numId="12">
    <w:abstractNumId w:val="8"/>
  </w:num>
  <w:num w:numId="13">
    <w:abstractNumId w:val="1"/>
  </w:num>
  <w:num w:numId="14">
    <w:abstractNumId w:val="30"/>
  </w:num>
  <w:num w:numId="15">
    <w:abstractNumId w:val="12"/>
  </w:num>
  <w:num w:numId="16">
    <w:abstractNumId w:val="0"/>
  </w:num>
  <w:num w:numId="17">
    <w:abstractNumId w:val="19"/>
  </w:num>
  <w:num w:numId="18">
    <w:abstractNumId w:val="25"/>
  </w:num>
  <w:num w:numId="19">
    <w:abstractNumId w:val="9"/>
  </w:num>
  <w:num w:numId="20">
    <w:abstractNumId w:val="20"/>
  </w:num>
  <w:num w:numId="21">
    <w:abstractNumId w:val="6"/>
  </w:num>
  <w:num w:numId="22">
    <w:abstractNumId w:val="16"/>
  </w:num>
  <w:num w:numId="23">
    <w:abstractNumId w:val="22"/>
  </w:num>
  <w:num w:numId="24">
    <w:abstractNumId w:val="11"/>
  </w:num>
  <w:num w:numId="25">
    <w:abstractNumId w:val="18"/>
  </w:num>
  <w:num w:numId="26">
    <w:abstractNumId w:val="4"/>
  </w:num>
  <w:num w:numId="27">
    <w:abstractNumId w:val="15"/>
  </w:num>
  <w:num w:numId="28">
    <w:abstractNumId w:val="10"/>
  </w:num>
  <w:num w:numId="29">
    <w:abstractNumId w:val="5"/>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8C"/>
    <w:rsid w:val="00015E28"/>
    <w:rsid w:val="00125850"/>
    <w:rsid w:val="001C06E4"/>
    <w:rsid w:val="002052FF"/>
    <w:rsid w:val="00295C02"/>
    <w:rsid w:val="002E1F33"/>
    <w:rsid w:val="002F109E"/>
    <w:rsid w:val="003058F9"/>
    <w:rsid w:val="00344B35"/>
    <w:rsid w:val="00357120"/>
    <w:rsid w:val="003748C3"/>
    <w:rsid w:val="003C5E8C"/>
    <w:rsid w:val="003E67EF"/>
    <w:rsid w:val="00435290"/>
    <w:rsid w:val="0043677B"/>
    <w:rsid w:val="0046596C"/>
    <w:rsid w:val="0049728F"/>
    <w:rsid w:val="004B742E"/>
    <w:rsid w:val="004C45B6"/>
    <w:rsid w:val="004F69D1"/>
    <w:rsid w:val="005124AC"/>
    <w:rsid w:val="005232EE"/>
    <w:rsid w:val="00533A90"/>
    <w:rsid w:val="00552E8C"/>
    <w:rsid w:val="005B47C7"/>
    <w:rsid w:val="00687F6C"/>
    <w:rsid w:val="006C2583"/>
    <w:rsid w:val="006C5B7A"/>
    <w:rsid w:val="006D2057"/>
    <w:rsid w:val="006D53CC"/>
    <w:rsid w:val="00714AE0"/>
    <w:rsid w:val="00777167"/>
    <w:rsid w:val="007A1FBB"/>
    <w:rsid w:val="007D6C46"/>
    <w:rsid w:val="007D70D4"/>
    <w:rsid w:val="008657EB"/>
    <w:rsid w:val="00875269"/>
    <w:rsid w:val="008B2213"/>
    <w:rsid w:val="008D2C54"/>
    <w:rsid w:val="008D7634"/>
    <w:rsid w:val="00967BB0"/>
    <w:rsid w:val="00982B97"/>
    <w:rsid w:val="009E18D8"/>
    <w:rsid w:val="009E59B8"/>
    <w:rsid w:val="00A26B77"/>
    <w:rsid w:val="00A768BD"/>
    <w:rsid w:val="00AE07A3"/>
    <w:rsid w:val="00AF5BF2"/>
    <w:rsid w:val="00B93ED7"/>
    <w:rsid w:val="00B97622"/>
    <w:rsid w:val="00C13CAA"/>
    <w:rsid w:val="00C72994"/>
    <w:rsid w:val="00C74B87"/>
    <w:rsid w:val="00C976F9"/>
    <w:rsid w:val="00CE6F36"/>
    <w:rsid w:val="00D3319D"/>
    <w:rsid w:val="00D41596"/>
    <w:rsid w:val="00D82191"/>
    <w:rsid w:val="00D93F3C"/>
    <w:rsid w:val="00E936A3"/>
    <w:rsid w:val="00EB7752"/>
    <w:rsid w:val="00ED1093"/>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6E878"/>
  <w15:chartTrackingRefBased/>
  <w15:docId w15:val="{B813914D-E15C-4ADB-A954-2C85B0B0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E8C"/>
    <w:pPr>
      <w:spacing w:after="242"/>
      <w:ind w:left="10" w:right="14" w:hanging="10"/>
      <w:jc w:val="center"/>
    </w:pPr>
    <w:rPr>
      <w:rFonts w:ascii="Luciole" w:eastAsia="Calibri" w:hAnsi="Luciole" w:cs="Calibri"/>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552E8C"/>
    <w:pPr>
      <w:keepNext/>
      <w:keepLines/>
      <w:numPr>
        <w:numId w:val="25"/>
      </w:numPr>
      <w:spacing w:before="240" w:line="480" w:lineRule="auto"/>
      <w:jc w:val="left"/>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552E8C"/>
    <w:rPr>
      <w:rFonts w:ascii="Luciole" w:eastAsiaTheme="majorEastAsia" w:hAnsi="Luciole" w:cstheme="majorBidi"/>
      <w:b/>
      <w:caps/>
      <w:color w:val="000000" w:themeColor="text1"/>
      <w:kern w:val="2"/>
      <w:sz w:val="24"/>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552E8C"/>
    <w:pPr>
      <w:numPr>
        <w:numId w:val="1"/>
      </w:numPr>
      <w:spacing w:before="240" w:after="360" w:line="240" w:lineRule="auto"/>
      <w:ind w:left="714" w:hanging="357"/>
      <w:jc w:val="left"/>
    </w:pPr>
    <w:rPr>
      <w:b/>
    </w:rPr>
  </w:style>
  <w:style w:type="character" w:customStyle="1" w:styleId="EnteteTableauCar">
    <w:name w:val="Entete_Tableau Car"/>
    <w:basedOn w:val="Policepardfaut"/>
    <w:link w:val="EnteteTableau"/>
    <w:rsid w:val="00552E8C"/>
    <w:rPr>
      <w:rFonts w:ascii="Luciole" w:eastAsia="Calibri" w:hAnsi="Luciole" w:cs="Calibri"/>
      <w:b/>
      <w:color w:val="000000"/>
      <w:kern w:val="2"/>
      <w:sz w:val="24"/>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552E8C"/>
    <w:pPr>
      <w:spacing w:after="0"/>
      <w:ind w:left="708" w:right="709" w:firstLine="0"/>
      <w:jc w:val="left"/>
    </w:pPr>
    <w:rPr>
      <w:rFonts w:eastAsia="Times New Roman" w:cs="Times New Roman"/>
    </w:rPr>
  </w:style>
  <w:style w:type="character" w:customStyle="1" w:styleId="CelluleTableauCar">
    <w:name w:val="Cellule_Tableau Car"/>
    <w:basedOn w:val="Policepardfaut"/>
    <w:link w:val="CelluleTableau"/>
    <w:rsid w:val="00552E8C"/>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ilo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D12A-0091-470D-971D-DEA1DE12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19</TotalTime>
  <Pages>5</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4</cp:revision>
  <cp:lastPrinted>2024-12-23T11:09:00Z</cp:lastPrinted>
  <dcterms:created xsi:type="dcterms:W3CDTF">2024-12-27T17:11:00Z</dcterms:created>
  <dcterms:modified xsi:type="dcterms:W3CDTF">2024-12-30T19:10:00Z</dcterms:modified>
</cp:coreProperties>
</file>