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5ECE" w14:textId="6FFAA37D" w:rsidR="00B412AC" w:rsidRPr="00763EAE" w:rsidRDefault="00F50EA3" w:rsidP="00763EAE">
      <w:pPr>
        <w:pStyle w:val="TitreDocument"/>
        <w:spacing w:before="0" w:after="0" w:line="240" w:lineRule="auto"/>
        <w:ind w:left="0"/>
        <w:rPr>
          <w:rFonts w:eastAsia="Calibri" w:cs="Calibri"/>
          <w:b/>
          <w:sz w:val="24"/>
          <w:szCs w:val="24"/>
        </w:rPr>
      </w:pPr>
      <w:r w:rsidRPr="00763EAE">
        <w:rPr>
          <w:szCs w:val="24"/>
        </w:rPr>
        <w:t>E</w:t>
      </w:r>
      <w:r w:rsidR="00B412AC" w:rsidRPr="00763EAE">
        <w:rPr>
          <w:szCs w:val="24"/>
        </w:rPr>
        <w:t>-HANDI TOUR GUIDE DE L’INCLUSION INNOVANTE DES PSDH</w:t>
      </w:r>
    </w:p>
    <w:p w14:paraId="14B2A09A" w14:textId="77777777" w:rsidR="00763EAE" w:rsidRDefault="00763EAE" w:rsidP="00763EAE">
      <w:pPr>
        <w:pStyle w:val="NormalWeb"/>
        <w:spacing w:before="0" w:beforeAutospacing="0" w:after="0" w:afterAutospacing="0"/>
        <w:jc w:val="center"/>
        <w:rPr>
          <w:rFonts w:ascii="Luciole" w:hAnsi="Luciole" w:cs="Calibri"/>
          <w:b/>
          <w:bCs/>
          <w:color w:val="000000"/>
          <w:sz w:val="27"/>
          <w:szCs w:val="27"/>
        </w:rPr>
      </w:pPr>
    </w:p>
    <w:p w14:paraId="58552ED6" w14:textId="38807C85" w:rsidR="00713ABB" w:rsidRPr="00763EAE" w:rsidRDefault="00DB1961" w:rsidP="00763EAE">
      <w:pPr>
        <w:pStyle w:val="NormalWeb"/>
        <w:spacing w:before="0" w:beforeAutospacing="0" w:after="0" w:afterAutospacing="0"/>
        <w:jc w:val="center"/>
        <w:rPr>
          <w:rFonts w:ascii="Luciole" w:hAnsi="Luciole" w:cs="Calibri"/>
          <w:b/>
          <w:bCs/>
          <w:color w:val="000000"/>
          <w:sz w:val="27"/>
          <w:szCs w:val="27"/>
        </w:rPr>
      </w:pPr>
      <w:r w:rsidRPr="00763EAE">
        <w:rPr>
          <w:rFonts w:ascii="Luciole" w:hAnsi="Luciole" w:cs="Calibri"/>
          <w:b/>
          <w:bCs/>
          <w:color w:val="000000"/>
          <w:sz w:val="27"/>
          <w:szCs w:val="27"/>
        </w:rPr>
        <w:t>IDENTIFICATION</w:t>
      </w:r>
    </w:p>
    <w:p w14:paraId="23C7F73C" w14:textId="77777777" w:rsidR="00763EAE" w:rsidRDefault="00763EAE" w:rsidP="00763EAE">
      <w:pPr>
        <w:pStyle w:val="NormalWeb"/>
        <w:spacing w:before="0" w:beforeAutospacing="0" w:after="0" w:afterAutospacing="0"/>
        <w:rPr>
          <w:rFonts w:ascii="Luciole" w:hAnsi="Luciole" w:cs="Calibri"/>
          <w:b/>
          <w:bCs/>
          <w:color w:val="000000"/>
        </w:rPr>
      </w:pPr>
    </w:p>
    <w:p w14:paraId="4964709E"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br/>
        <w:t>Titre de la pratique exemplaire :</w:t>
      </w:r>
      <w:r w:rsidRPr="00763EAE">
        <w:rPr>
          <w:rFonts w:ascii="Luciole" w:hAnsi="Luciole" w:cs="Calibri"/>
          <w:b/>
          <w:bCs/>
          <w:color w:val="000000"/>
        </w:rPr>
        <w:br/>
      </w:r>
    </w:p>
    <w:p w14:paraId="5E5EE598" w14:textId="2D41439A" w:rsidR="00DB1961" w:rsidRPr="00763EAE" w:rsidRDefault="00DB1961" w:rsidP="00763EAE">
      <w:pPr>
        <w:pStyle w:val="NormalWeb"/>
        <w:spacing w:before="0" w:beforeAutospacing="0" w:after="0" w:afterAutospacing="0"/>
        <w:rPr>
          <w:rFonts w:ascii="Luciole" w:hAnsi="Luciole"/>
        </w:rPr>
      </w:pPr>
      <w:r w:rsidRPr="00763EAE">
        <w:rPr>
          <w:rFonts w:ascii="Luciole" w:hAnsi="Luciole" w:cs="Calibri"/>
          <w:color w:val="000000"/>
        </w:rPr>
        <w:t xml:space="preserve">Checklist </w:t>
      </w:r>
      <w:proofErr w:type="spellStart"/>
      <w:r w:rsidRPr="00763EAE">
        <w:rPr>
          <w:rFonts w:ascii="Luciole" w:hAnsi="Luciole" w:cs="Calibri"/>
          <w:color w:val="000000"/>
        </w:rPr>
        <w:t>Handi</w:t>
      </w:r>
      <w:proofErr w:type="spellEnd"/>
      <w:r w:rsidRPr="00763EAE">
        <w:rPr>
          <w:rFonts w:ascii="Luciole" w:hAnsi="Luciole" w:cs="Calibri"/>
          <w:color w:val="000000"/>
        </w:rPr>
        <w:t>-accueillante</w:t>
      </w:r>
    </w:p>
    <w:p w14:paraId="3BCB3B7E" w14:textId="77777777" w:rsidR="00763EAE" w:rsidRDefault="00763EAE" w:rsidP="00763EAE">
      <w:pPr>
        <w:pStyle w:val="NormalWeb"/>
        <w:spacing w:before="0" w:beforeAutospacing="0" w:after="0" w:afterAutospacing="0"/>
        <w:rPr>
          <w:rFonts w:ascii="Luciole" w:hAnsi="Luciole" w:cs="Calibri"/>
          <w:b/>
          <w:bCs/>
          <w:color w:val="000000"/>
        </w:rPr>
      </w:pPr>
    </w:p>
    <w:p w14:paraId="7EB634B9"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Promoteur de l'initiative :</w:t>
      </w:r>
      <w:r w:rsidRPr="00763EAE">
        <w:rPr>
          <w:rFonts w:ascii="Luciole" w:hAnsi="Luciole" w:cs="Calibri"/>
          <w:b/>
          <w:bCs/>
          <w:color w:val="000000"/>
        </w:rPr>
        <w:br/>
      </w:r>
    </w:p>
    <w:p w14:paraId="799AEADB" w14:textId="2F11A940" w:rsidR="00DB1961" w:rsidRPr="00763EAE" w:rsidRDefault="00DB1961" w:rsidP="00763EAE">
      <w:pPr>
        <w:pStyle w:val="NormalWeb"/>
        <w:spacing w:before="0" w:beforeAutospacing="0" w:after="0" w:afterAutospacing="0"/>
        <w:rPr>
          <w:rFonts w:ascii="Luciole" w:hAnsi="Luciole"/>
        </w:rPr>
      </w:pPr>
      <w:r w:rsidRPr="00763EAE">
        <w:rPr>
          <w:rFonts w:ascii="Luciole" w:hAnsi="Luciole" w:cs="Calibri"/>
          <w:color w:val="000000"/>
        </w:rPr>
        <w:t>IMS Luxembourg</w:t>
      </w:r>
    </w:p>
    <w:p w14:paraId="5396C275" w14:textId="77777777" w:rsidR="00763EAE" w:rsidRDefault="00763EAE" w:rsidP="00763EAE">
      <w:pPr>
        <w:pStyle w:val="NormalWeb"/>
        <w:spacing w:before="0" w:beforeAutospacing="0" w:after="0" w:afterAutospacing="0"/>
        <w:rPr>
          <w:rFonts w:ascii="Luciole" w:hAnsi="Luciole" w:cs="Calibri"/>
          <w:b/>
          <w:bCs/>
          <w:color w:val="000000"/>
        </w:rPr>
      </w:pPr>
    </w:p>
    <w:p w14:paraId="59AEE3E9"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Pays :</w:t>
      </w:r>
      <w:r w:rsidRPr="00763EAE">
        <w:rPr>
          <w:rFonts w:ascii="Luciole" w:hAnsi="Luciole" w:cs="Calibri"/>
          <w:b/>
          <w:bCs/>
          <w:color w:val="000000"/>
        </w:rPr>
        <w:br/>
      </w:r>
    </w:p>
    <w:p w14:paraId="4730D050" w14:textId="256A4095" w:rsidR="00DB1961" w:rsidRPr="00763EAE" w:rsidRDefault="00DB1961" w:rsidP="00763EAE">
      <w:pPr>
        <w:pStyle w:val="NormalWeb"/>
        <w:spacing w:before="0" w:beforeAutospacing="0" w:after="0" w:afterAutospacing="0"/>
        <w:rPr>
          <w:rFonts w:ascii="Luciole" w:hAnsi="Luciole"/>
        </w:rPr>
      </w:pPr>
      <w:r w:rsidRPr="00763EAE">
        <w:rPr>
          <w:rFonts w:ascii="Luciole" w:hAnsi="Luciole" w:cs="Calibri"/>
          <w:color w:val="000000"/>
        </w:rPr>
        <w:t>Luxembourg</w:t>
      </w:r>
    </w:p>
    <w:p w14:paraId="783C4CEC" w14:textId="77777777" w:rsidR="00763EAE" w:rsidRDefault="00763EAE" w:rsidP="00763EAE">
      <w:pPr>
        <w:pStyle w:val="NormalWeb"/>
        <w:spacing w:before="0" w:beforeAutospacing="0" w:after="0" w:afterAutospacing="0"/>
        <w:rPr>
          <w:rFonts w:ascii="Luciole" w:hAnsi="Luciole" w:cs="Calibri"/>
          <w:b/>
          <w:bCs/>
          <w:color w:val="000000"/>
        </w:rPr>
      </w:pPr>
    </w:p>
    <w:p w14:paraId="3C5FEDCD" w14:textId="77777777" w:rsidR="00763EAE" w:rsidRDefault="00DB1961" w:rsidP="00763EAE">
      <w:pPr>
        <w:pStyle w:val="NormalWeb"/>
        <w:spacing w:before="0" w:beforeAutospacing="0" w:after="0" w:afterAutospacing="0"/>
        <w:rPr>
          <w:rStyle w:val="Lienhypertexte"/>
          <w:rFonts w:ascii="Luciole" w:hAnsi="Luciole" w:cs="Calibri"/>
          <w:color w:val="1155CC"/>
        </w:rPr>
      </w:pPr>
      <w:r w:rsidRPr="00763EAE">
        <w:rPr>
          <w:rFonts w:ascii="Luciole" w:hAnsi="Luciole" w:cs="Calibri"/>
          <w:b/>
          <w:bCs/>
          <w:color w:val="000000"/>
        </w:rPr>
        <w:t>Site internet :</w:t>
      </w:r>
      <w:r w:rsidRPr="00763EAE">
        <w:rPr>
          <w:rFonts w:ascii="Luciole" w:hAnsi="Luciole" w:cs="Calibri"/>
          <w:b/>
          <w:bCs/>
          <w:color w:val="000000"/>
        </w:rPr>
        <w:br/>
      </w:r>
    </w:p>
    <w:p w14:paraId="36B47789" w14:textId="473292E3" w:rsidR="00DB1961" w:rsidRPr="00763EAE" w:rsidRDefault="00A8289B" w:rsidP="00763EAE">
      <w:pPr>
        <w:pStyle w:val="NormalWeb"/>
        <w:spacing w:before="0" w:beforeAutospacing="0" w:after="0" w:afterAutospacing="0"/>
        <w:rPr>
          <w:rFonts w:ascii="Luciole" w:hAnsi="Luciole"/>
        </w:rPr>
      </w:pPr>
      <w:hyperlink r:id="rId8" w:history="1">
        <w:r w:rsidR="00DB1961" w:rsidRPr="00763EAE">
          <w:rPr>
            <w:rStyle w:val="Lienhypertexte"/>
            <w:rFonts w:ascii="Luciole" w:hAnsi="Luciole" w:cs="Calibri"/>
            <w:color w:val="1155CC"/>
          </w:rPr>
          <w:t>www.imslux.lu</w:t>
        </w:r>
      </w:hyperlink>
    </w:p>
    <w:p w14:paraId="7A39D7E4" w14:textId="77777777" w:rsidR="00763EAE" w:rsidRDefault="00763EAE" w:rsidP="00763EAE">
      <w:pPr>
        <w:pStyle w:val="NormalWeb"/>
        <w:spacing w:before="0" w:beforeAutospacing="0" w:after="0" w:afterAutospacing="0"/>
        <w:rPr>
          <w:rFonts w:ascii="Luciole" w:hAnsi="Luciole" w:cs="Calibri"/>
          <w:b/>
          <w:bCs/>
          <w:color w:val="000000"/>
        </w:rPr>
      </w:pPr>
    </w:p>
    <w:p w14:paraId="181C4655" w14:textId="77777777" w:rsidR="00763EAE" w:rsidRDefault="00DB1961" w:rsidP="00763EAE">
      <w:pPr>
        <w:pStyle w:val="NormalWeb"/>
        <w:spacing w:before="0" w:beforeAutospacing="0" w:after="0" w:afterAutospacing="0"/>
        <w:rPr>
          <w:rStyle w:val="Lienhypertexte"/>
          <w:rFonts w:ascii="Luciole" w:hAnsi="Luciole" w:cs="Calibri"/>
        </w:rPr>
      </w:pPr>
      <w:r w:rsidRPr="00763EAE">
        <w:rPr>
          <w:rFonts w:ascii="Luciole" w:hAnsi="Luciole" w:cs="Calibri"/>
          <w:b/>
          <w:bCs/>
          <w:color w:val="000000"/>
        </w:rPr>
        <w:t>Contact :</w:t>
      </w:r>
      <w:r w:rsidRPr="00763EAE">
        <w:rPr>
          <w:rFonts w:ascii="Luciole" w:hAnsi="Luciole" w:cs="Calibri"/>
          <w:b/>
          <w:bCs/>
          <w:color w:val="000000"/>
        </w:rPr>
        <w:br/>
      </w:r>
    </w:p>
    <w:p w14:paraId="445AA0E1" w14:textId="0FC2F224" w:rsidR="00DB1961" w:rsidRPr="00763EAE" w:rsidRDefault="00A8289B" w:rsidP="00763EAE">
      <w:pPr>
        <w:pStyle w:val="NormalWeb"/>
        <w:spacing w:before="0" w:beforeAutospacing="0" w:after="0" w:afterAutospacing="0"/>
        <w:rPr>
          <w:rFonts w:ascii="Luciole" w:hAnsi="Luciole" w:cs="Calibri"/>
          <w:color w:val="000000"/>
        </w:rPr>
      </w:pPr>
      <w:hyperlink r:id="rId9" w:history="1">
        <w:r w:rsidR="00713ABB" w:rsidRPr="00763EAE">
          <w:rPr>
            <w:rStyle w:val="Lienhypertexte"/>
            <w:rFonts w:ascii="Luciole" w:hAnsi="Luciole" w:cs="Calibri"/>
          </w:rPr>
          <w:t>info@chartediversite.lu</w:t>
        </w:r>
      </w:hyperlink>
    </w:p>
    <w:p w14:paraId="5A863190" w14:textId="77777777" w:rsidR="00713ABB" w:rsidRDefault="00713ABB" w:rsidP="00763EAE">
      <w:pPr>
        <w:pStyle w:val="NormalWeb"/>
        <w:spacing w:before="0" w:beforeAutospacing="0" w:after="0" w:afterAutospacing="0"/>
        <w:rPr>
          <w:rFonts w:ascii="Luciole" w:hAnsi="Luciole"/>
        </w:rPr>
      </w:pPr>
    </w:p>
    <w:p w14:paraId="44CFF897" w14:textId="79808474" w:rsidR="00763EAE" w:rsidRDefault="00763EAE">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6F73DF9F" w14:textId="11328788" w:rsidR="00DB1961" w:rsidRPr="00763EAE" w:rsidRDefault="00DB1961" w:rsidP="00763EAE">
      <w:pPr>
        <w:pStyle w:val="Titre3"/>
        <w:numPr>
          <w:ilvl w:val="0"/>
          <w:numId w:val="0"/>
        </w:numPr>
        <w:spacing w:before="0" w:after="0" w:line="240" w:lineRule="auto"/>
        <w:rPr>
          <w:rFonts w:ascii="Luciole" w:eastAsia="Times New Roman" w:hAnsi="Luciole" w:cs="Times New Roman"/>
          <w:color w:val="auto"/>
          <w:kern w:val="0"/>
          <w:sz w:val="24"/>
          <w:lang w:val="fr-BE" w:eastAsia="fr-BE"/>
          <w14:ligatures w14:val="none"/>
        </w:rPr>
      </w:pPr>
      <w:r w:rsidRPr="00763EAE">
        <w:rPr>
          <w:rFonts w:ascii="Luciole" w:hAnsi="Luciole" w:cs="Calibri"/>
          <w:color w:val="000000"/>
          <w:sz w:val="24"/>
        </w:rPr>
        <w:lastRenderedPageBreak/>
        <w:t>DÉTAIL DE L'INITIATIVE</w:t>
      </w:r>
      <w:r w:rsidR="00713ABB" w:rsidRPr="00763EAE">
        <w:rPr>
          <w:rFonts w:ascii="Calibri" w:hAnsi="Calibri" w:cs="Calibri"/>
          <w:color w:val="000000"/>
          <w:sz w:val="24"/>
        </w:rPr>
        <w:t> </w:t>
      </w:r>
      <w:r w:rsidR="00713ABB" w:rsidRPr="00763EAE">
        <w:rPr>
          <w:rFonts w:ascii="Luciole" w:hAnsi="Luciole" w:cs="Calibri"/>
          <w:color w:val="000000"/>
          <w:sz w:val="24"/>
        </w:rPr>
        <w:t>:</w:t>
      </w:r>
    </w:p>
    <w:p w14:paraId="3CA08D68" w14:textId="77777777" w:rsidR="00763EAE" w:rsidRDefault="00763EAE" w:rsidP="00763EAE">
      <w:pPr>
        <w:pStyle w:val="NormalWeb"/>
        <w:spacing w:before="0" w:beforeAutospacing="0" w:after="0" w:afterAutospacing="0"/>
        <w:rPr>
          <w:rFonts w:ascii="Luciole" w:hAnsi="Luciole" w:cs="Calibri"/>
          <w:b/>
          <w:bCs/>
          <w:color w:val="000000"/>
        </w:rPr>
      </w:pPr>
    </w:p>
    <w:p w14:paraId="765DA28C" w14:textId="77777777" w:rsidR="00763EAE" w:rsidRDefault="00763EAE" w:rsidP="00763EAE">
      <w:pPr>
        <w:pStyle w:val="NormalWeb"/>
        <w:spacing w:before="0" w:beforeAutospacing="0" w:after="0" w:afterAutospacing="0"/>
        <w:rPr>
          <w:rFonts w:ascii="Luciole" w:hAnsi="Luciole" w:cs="Calibri"/>
          <w:b/>
          <w:bCs/>
          <w:color w:val="000000"/>
        </w:rPr>
      </w:pPr>
    </w:p>
    <w:p w14:paraId="0131D7EA"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Année(s) de mise en œuvre :</w:t>
      </w:r>
      <w:r w:rsidRPr="00763EAE">
        <w:rPr>
          <w:rFonts w:ascii="Luciole" w:hAnsi="Luciole" w:cs="Calibri"/>
          <w:b/>
          <w:bCs/>
          <w:color w:val="000000"/>
        </w:rPr>
        <w:br/>
      </w:r>
    </w:p>
    <w:p w14:paraId="4B56D7DD" w14:textId="7034D3A4" w:rsidR="00DB1961" w:rsidRPr="00763EAE" w:rsidRDefault="00DB1961" w:rsidP="00763EAE">
      <w:pPr>
        <w:pStyle w:val="NormalWeb"/>
        <w:spacing w:before="0" w:beforeAutospacing="0" w:after="0" w:afterAutospacing="0"/>
        <w:rPr>
          <w:rFonts w:ascii="Luciole" w:hAnsi="Luciole"/>
        </w:rPr>
      </w:pPr>
      <w:r w:rsidRPr="00763EAE">
        <w:rPr>
          <w:rFonts w:ascii="Luciole" w:hAnsi="Luciole" w:cs="Calibri"/>
          <w:color w:val="000000"/>
        </w:rPr>
        <w:t>Depuis 2021</w:t>
      </w:r>
    </w:p>
    <w:p w14:paraId="35A83E28" w14:textId="77777777" w:rsidR="00763EAE" w:rsidRDefault="00763EAE" w:rsidP="00763EAE">
      <w:pPr>
        <w:pStyle w:val="NormalWeb"/>
        <w:spacing w:before="0" w:beforeAutospacing="0" w:after="0" w:afterAutospacing="0"/>
        <w:rPr>
          <w:rFonts w:ascii="Luciole" w:hAnsi="Luciole" w:cs="Calibri"/>
          <w:b/>
          <w:bCs/>
          <w:color w:val="000000"/>
        </w:rPr>
      </w:pPr>
    </w:p>
    <w:p w14:paraId="1265420D" w14:textId="77777777" w:rsidR="00763EAE" w:rsidRDefault="00763EAE" w:rsidP="00763EAE">
      <w:pPr>
        <w:pStyle w:val="NormalWeb"/>
        <w:spacing w:before="0" w:beforeAutospacing="0" w:after="0" w:afterAutospacing="0"/>
        <w:rPr>
          <w:rFonts w:ascii="Luciole" w:hAnsi="Luciole" w:cs="Calibri"/>
          <w:b/>
          <w:bCs/>
          <w:color w:val="000000"/>
        </w:rPr>
      </w:pPr>
    </w:p>
    <w:p w14:paraId="51A3A511"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Groupe(s) cible(s) :</w:t>
      </w:r>
      <w:r w:rsidRPr="00763EAE">
        <w:rPr>
          <w:rFonts w:ascii="Luciole" w:hAnsi="Luciole" w:cs="Calibri"/>
          <w:b/>
          <w:bCs/>
          <w:color w:val="000000"/>
        </w:rPr>
        <w:br/>
      </w:r>
    </w:p>
    <w:p w14:paraId="5DA411ED" w14:textId="0E006DCC" w:rsidR="00DB1961" w:rsidRP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color w:val="000000"/>
        </w:rPr>
        <w:t>Entreprises, managers, responsables des ressources humaines</w:t>
      </w:r>
      <w:r w:rsidR="00713ABB" w:rsidRPr="00763EAE">
        <w:rPr>
          <w:rFonts w:ascii="Luciole" w:hAnsi="Luciole" w:cs="Calibri"/>
          <w:color w:val="000000"/>
        </w:rPr>
        <w:t>.</w:t>
      </w:r>
    </w:p>
    <w:p w14:paraId="0D02E0C3" w14:textId="77777777" w:rsidR="00713ABB" w:rsidRDefault="00713ABB" w:rsidP="00763EAE">
      <w:pPr>
        <w:pStyle w:val="NormalWeb"/>
        <w:spacing w:before="0" w:beforeAutospacing="0" w:after="0" w:afterAutospacing="0"/>
        <w:rPr>
          <w:rFonts w:ascii="Luciole" w:hAnsi="Luciole"/>
        </w:rPr>
      </w:pPr>
    </w:p>
    <w:p w14:paraId="4180DECF" w14:textId="77777777" w:rsidR="00763EAE" w:rsidRPr="00763EAE" w:rsidRDefault="00763EAE" w:rsidP="00763EAE">
      <w:pPr>
        <w:pStyle w:val="NormalWeb"/>
        <w:spacing w:before="0" w:beforeAutospacing="0" w:after="0" w:afterAutospacing="0"/>
        <w:rPr>
          <w:rFonts w:ascii="Luciole" w:hAnsi="Luciole"/>
        </w:rPr>
      </w:pPr>
    </w:p>
    <w:p w14:paraId="07F091C8"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Description :</w:t>
      </w:r>
      <w:r w:rsidRPr="00763EAE">
        <w:rPr>
          <w:rFonts w:ascii="Luciole" w:hAnsi="Luciole" w:cs="Calibri"/>
          <w:b/>
          <w:bCs/>
          <w:color w:val="000000"/>
        </w:rPr>
        <w:br/>
      </w:r>
    </w:p>
    <w:p w14:paraId="37809743" w14:textId="33154C52" w:rsidR="00DB1961" w:rsidRP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color w:val="000000"/>
        </w:rPr>
        <w:t xml:space="preserve">Laura Fabiano, représentante d'IMS Luxembourg, souligne que l'association joue un rôle central dans le soutien des organisations luxembourgeoises en matière de développement durable, notamment à travers des initiatives pour l'inclusion des personnes en situation de dépendance et de handicap (PSDH). </w:t>
      </w:r>
    </w:p>
    <w:p w14:paraId="02DC6E56" w14:textId="77777777" w:rsidR="00DB1961" w:rsidRPr="00763EAE" w:rsidRDefault="00DB1961" w:rsidP="00763EAE">
      <w:pPr>
        <w:pStyle w:val="NormalWeb"/>
        <w:spacing w:before="0" w:beforeAutospacing="0" w:after="0" w:afterAutospacing="0"/>
        <w:rPr>
          <w:rFonts w:ascii="Luciole" w:hAnsi="Luciole" w:cs="Calibri"/>
          <w:color w:val="000000"/>
        </w:rPr>
      </w:pPr>
    </w:p>
    <w:p w14:paraId="7A50865D" w14:textId="5B37B30A" w:rsidR="00DB1961" w:rsidRP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color w:val="000000"/>
        </w:rPr>
        <w:t>IMS, acronyme de "</w:t>
      </w:r>
      <w:proofErr w:type="spellStart"/>
      <w:r w:rsidRPr="00763EAE">
        <w:rPr>
          <w:rFonts w:ascii="Luciole" w:hAnsi="Luciole" w:cs="Calibri"/>
          <w:color w:val="000000"/>
        </w:rPr>
        <w:t>Inspiring</w:t>
      </w:r>
      <w:proofErr w:type="spellEnd"/>
      <w:r w:rsidRPr="00763EAE">
        <w:rPr>
          <w:rFonts w:ascii="Luciole" w:hAnsi="Luciole" w:cs="Calibri"/>
          <w:color w:val="000000"/>
        </w:rPr>
        <w:t xml:space="preserve"> More </w:t>
      </w:r>
      <w:proofErr w:type="spellStart"/>
      <w:r w:rsidRPr="00763EAE">
        <w:rPr>
          <w:rFonts w:ascii="Luciole" w:hAnsi="Luciole" w:cs="Calibri"/>
          <w:color w:val="000000"/>
        </w:rPr>
        <w:t>Sustainability</w:t>
      </w:r>
      <w:proofErr w:type="spellEnd"/>
      <w:r w:rsidRPr="00763EAE">
        <w:rPr>
          <w:rFonts w:ascii="Luciole" w:hAnsi="Luciole" w:cs="Calibri"/>
          <w:color w:val="000000"/>
        </w:rPr>
        <w:t xml:space="preserve">", est </w:t>
      </w:r>
      <w:proofErr w:type="gramStart"/>
      <w:r w:rsidRPr="00763EAE">
        <w:rPr>
          <w:rFonts w:ascii="Luciole" w:hAnsi="Luciole" w:cs="Calibri"/>
          <w:color w:val="000000"/>
        </w:rPr>
        <w:t>reconnue</w:t>
      </w:r>
      <w:proofErr w:type="gramEnd"/>
      <w:r w:rsidRPr="00763EAE">
        <w:rPr>
          <w:rFonts w:ascii="Luciole" w:hAnsi="Luciole" w:cs="Calibri"/>
          <w:color w:val="000000"/>
        </w:rPr>
        <w:t xml:space="preserve"> d'utilité publique et sert de point de contact national avec les réseaux européens et internationaux. La </w:t>
      </w:r>
      <w:r w:rsidRPr="00763EAE">
        <w:rPr>
          <w:rFonts w:ascii="Luciole" w:hAnsi="Luciole" w:cs="Calibri"/>
          <w:bCs/>
          <w:color w:val="000000"/>
        </w:rPr>
        <w:t>Checklist</w:t>
      </w:r>
      <w:r w:rsidRPr="00763EAE">
        <w:rPr>
          <w:rFonts w:ascii="Luciole" w:hAnsi="Luciole" w:cs="Calibri"/>
          <w:b/>
          <w:bCs/>
          <w:color w:val="000000"/>
        </w:rPr>
        <w:t xml:space="preserve"> </w:t>
      </w:r>
      <w:proofErr w:type="spellStart"/>
      <w:r w:rsidRPr="00763EAE">
        <w:rPr>
          <w:rFonts w:ascii="Luciole" w:hAnsi="Luciole" w:cs="Calibri"/>
          <w:bCs/>
          <w:color w:val="000000"/>
        </w:rPr>
        <w:t>Handi</w:t>
      </w:r>
      <w:proofErr w:type="spellEnd"/>
      <w:r w:rsidRPr="00763EAE">
        <w:rPr>
          <w:rFonts w:ascii="Luciole" w:hAnsi="Luciole" w:cs="Calibri"/>
          <w:bCs/>
          <w:color w:val="000000"/>
        </w:rPr>
        <w:t>-accueillante</w:t>
      </w:r>
      <w:r w:rsidRPr="00763EAE">
        <w:rPr>
          <w:rFonts w:ascii="Luciole" w:hAnsi="Luciole" w:cs="Calibri"/>
          <w:color w:val="000000"/>
        </w:rPr>
        <w:t xml:space="preserve"> est l'un des principaux outils créés par IMS pour promouvoir l'inclusion des PSDH dans les entreprises. Cet outil, développé en collaboration avec des employeurs et des associations, et financé par le Fonds Social Européen et les ministères luxembourgeois concernés, permet aux entreprises d'évaluer leur niveau d'</w:t>
      </w:r>
      <w:proofErr w:type="spellStart"/>
      <w:r w:rsidRPr="00763EAE">
        <w:rPr>
          <w:rFonts w:ascii="Luciole" w:hAnsi="Luciole" w:cs="Calibri"/>
          <w:color w:val="000000"/>
        </w:rPr>
        <w:t>inclusivité</w:t>
      </w:r>
      <w:proofErr w:type="spellEnd"/>
      <w:r w:rsidRPr="00763EAE">
        <w:rPr>
          <w:rFonts w:ascii="Luciole" w:hAnsi="Luciole" w:cs="Calibri"/>
          <w:color w:val="000000"/>
        </w:rPr>
        <w:t xml:space="preserve"> et de recevoir des recommandations pour s'améliorer continuellement.</w:t>
      </w:r>
    </w:p>
    <w:p w14:paraId="5D819BB4" w14:textId="77777777" w:rsidR="00DB1961" w:rsidRDefault="00DB1961" w:rsidP="00763EAE">
      <w:pPr>
        <w:pStyle w:val="NormalWeb"/>
        <w:spacing w:before="0" w:beforeAutospacing="0" w:after="0" w:afterAutospacing="0"/>
        <w:rPr>
          <w:rFonts w:ascii="Luciole" w:hAnsi="Luciole"/>
        </w:rPr>
      </w:pPr>
    </w:p>
    <w:p w14:paraId="531DB523" w14:textId="35BAE744" w:rsidR="00763EAE" w:rsidRDefault="00763EAE">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7E3F92BF" w14:textId="77777777" w:rsidR="00DB1961" w:rsidRPr="00763EAE" w:rsidRDefault="00DB1961" w:rsidP="00763EAE">
      <w:pPr>
        <w:pStyle w:val="NormalWeb"/>
        <w:spacing w:before="0" w:beforeAutospacing="0" w:after="0" w:afterAutospacing="0"/>
        <w:rPr>
          <w:rFonts w:ascii="Luciole" w:hAnsi="Luciole"/>
        </w:rPr>
      </w:pPr>
      <w:r w:rsidRPr="00763EAE">
        <w:rPr>
          <w:rFonts w:ascii="Luciole" w:hAnsi="Luciole" w:cs="Calibri"/>
          <w:b/>
          <w:bCs/>
          <w:color w:val="000000"/>
        </w:rPr>
        <w:lastRenderedPageBreak/>
        <w:t>Méthodologie :</w:t>
      </w:r>
    </w:p>
    <w:p w14:paraId="1EE3B733" w14:textId="77777777" w:rsidR="00763EAE" w:rsidRDefault="00763EAE" w:rsidP="00763EAE">
      <w:pPr>
        <w:pStyle w:val="NormalWeb"/>
        <w:spacing w:before="0" w:beforeAutospacing="0" w:after="0" w:afterAutospacing="0"/>
        <w:textAlignment w:val="baseline"/>
        <w:rPr>
          <w:rFonts w:ascii="Luciole" w:hAnsi="Luciole" w:cs="Calibri"/>
          <w:color w:val="000000"/>
        </w:rPr>
      </w:pPr>
    </w:p>
    <w:p w14:paraId="20F7D63A" w14:textId="77777777" w:rsidR="00763EAE" w:rsidRDefault="00763EAE" w:rsidP="00763EAE">
      <w:pPr>
        <w:pStyle w:val="NormalWeb"/>
        <w:spacing w:before="0" w:beforeAutospacing="0" w:after="0" w:afterAutospacing="0"/>
        <w:textAlignment w:val="baseline"/>
        <w:rPr>
          <w:rFonts w:ascii="Luciole" w:hAnsi="Luciole" w:cs="Calibri"/>
          <w:color w:val="000000"/>
        </w:rPr>
      </w:pPr>
    </w:p>
    <w:p w14:paraId="1B819B57" w14:textId="77777777" w:rsidR="00763EAE" w:rsidRDefault="00DB1961" w:rsidP="00763EAE">
      <w:pPr>
        <w:pStyle w:val="NormalWeb"/>
        <w:spacing w:before="0" w:beforeAutospacing="0" w:after="0" w:afterAutospacing="0"/>
        <w:textAlignment w:val="baseline"/>
        <w:rPr>
          <w:rFonts w:ascii="Luciole" w:hAnsi="Luciole" w:cs="Calibri"/>
          <w:color w:val="000000"/>
        </w:rPr>
      </w:pPr>
      <w:r w:rsidRPr="00763EAE">
        <w:rPr>
          <w:rFonts w:ascii="Luciole" w:hAnsi="Luciole" w:cs="Calibri"/>
          <w:b/>
          <w:bCs/>
          <w:color w:val="000000"/>
        </w:rPr>
        <w:t>Évaluation des Pratiques :</w:t>
      </w:r>
      <w:r w:rsidRPr="00763EAE">
        <w:rPr>
          <w:rFonts w:ascii="Luciole" w:hAnsi="Luciole" w:cs="Calibri"/>
          <w:b/>
          <w:bCs/>
          <w:color w:val="000000"/>
        </w:rPr>
        <w:br/>
      </w:r>
    </w:p>
    <w:p w14:paraId="67ED980E" w14:textId="56312661" w:rsidR="00DB1961" w:rsidRPr="00763EAE" w:rsidRDefault="00DB1961" w:rsidP="00763EAE">
      <w:pPr>
        <w:pStyle w:val="NormalWeb"/>
        <w:spacing w:before="0" w:beforeAutospacing="0" w:after="0" w:afterAutospacing="0"/>
        <w:textAlignment w:val="baseline"/>
        <w:rPr>
          <w:rFonts w:ascii="Luciole" w:hAnsi="Luciole" w:cs="Calibri"/>
          <w:color w:val="000000"/>
        </w:rPr>
      </w:pPr>
      <w:r w:rsidRPr="00763EAE">
        <w:rPr>
          <w:rFonts w:ascii="Luciole" w:hAnsi="Luciole" w:cs="Calibri"/>
          <w:color w:val="000000"/>
        </w:rPr>
        <w:t>Les entreprises utilisent la checklist pour s'</w:t>
      </w:r>
      <w:proofErr w:type="spellStart"/>
      <w:r w:rsidRPr="00763EAE">
        <w:rPr>
          <w:rFonts w:ascii="Luciole" w:hAnsi="Luciole" w:cs="Calibri"/>
          <w:color w:val="000000"/>
        </w:rPr>
        <w:t>auto-évaluer</w:t>
      </w:r>
      <w:proofErr w:type="spellEnd"/>
      <w:r w:rsidRPr="00763EAE">
        <w:rPr>
          <w:rFonts w:ascii="Luciole" w:hAnsi="Luciole" w:cs="Calibri"/>
          <w:color w:val="000000"/>
        </w:rPr>
        <w:t xml:space="preserve"> sur leur </w:t>
      </w:r>
      <w:proofErr w:type="spellStart"/>
      <w:r w:rsidRPr="00763EAE">
        <w:rPr>
          <w:rFonts w:ascii="Luciole" w:hAnsi="Luciole" w:cs="Calibri"/>
          <w:color w:val="000000"/>
        </w:rPr>
        <w:t>inclusivité</w:t>
      </w:r>
      <w:proofErr w:type="spellEnd"/>
      <w:r w:rsidRPr="00763EAE">
        <w:rPr>
          <w:rFonts w:ascii="Luciole" w:hAnsi="Luciole" w:cs="Calibri"/>
          <w:color w:val="000000"/>
        </w:rPr>
        <w:t xml:space="preserve"> à l'égard des PSDH. Ce diagnostic permet d'identifier les points forts et les faiblesses des pratiques actuelles, afin d'adopter des mesures correctives.</w:t>
      </w:r>
    </w:p>
    <w:p w14:paraId="35CF7726" w14:textId="77777777" w:rsidR="00DB1961" w:rsidRPr="00763EAE" w:rsidRDefault="00DB1961" w:rsidP="00763EAE">
      <w:pPr>
        <w:pStyle w:val="NormalWeb"/>
        <w:spacing w:before="0" w:beforeAutospacing="0" w:after="0" w:afterAutospacing="0"/>
        <w:textAlignment w:val="baseline"/>
        <w:rPr>
          <w:rFonts w:ascii="Luciole" w:hAnsi="Luciole" w:cs="Calibri"/>
          <w:color w:val="000000"/>
        </w:rPr>
      </w:pPr>
    </w:p>
    <w:p w14:paraId="503F26A7" w14:textId="77777777" w:rsidR="00DB1961" w:rsidRPr="00763EAE" w:rsidRDefault="00DB1961" w:rsidP="00763EAE">
      <w:pPr>
        <w:pStyle w:val="NormalWeb"/>
        <w:spacing w:before="0" w:beforeAutospacing="0" w:after="0" w:afterAutospacing="0"/>
        <w:textAlignment w:val="baseline"/>
        <w:rPr>
          <w:rFonts w:ascii="Luciole" w:hAnsi="Luciole" w:cs="Calibri"/>
          <w:color w:val="000000"/>
        </w:rPr>
      </w:pPr>
    </w:p>
    <w:p w14:paraId="369A45E9" w14:textId="77777777" w:rsidR="00763EAE" w:rsidRDefault="00763EAE" w:rsidP="00763EAE">
      <w:pPr>
        <w:pStyle w:val="NormalWeb"/>
        <w:spacing w:before="0" w:beforeAutospacing="0" w:after="0" w:afterAutospacing="0"/>
        <w:textAlignment w:val="baseline"/>
        <w:rPr>
          <w:rFonts w:ascii="Luciole" w:hAnsi="Luciole" w:cs="Calibri"/>
          <w:color w:val="000000"/>
        </w:rPr>
      </w:pPr>
      <w:r>
        <w:rPr>
          <w:rFonts w:ascii="Luciole" w:hAnsi="Luciole" w:cs="Calibri"/>
          <w:b/>
          <w:bCs/>
          <w:color w:val="000000"/>
        </w:rPr>
        <w:t>I</w:t>
      </w:r>
      <w:r w:rsidR="00DB1961" w:rsidRPr="00763EAE">
        <w:rPr>
          <w:rFonts w:ascii="Luciole" w:hAnsi="Luciole" w:cs="Calibri"/>
          <w:b/>
          <w:bCs/>
          <w:color w:val="000000"/>
        </w:rPr>
        <w:t>nspiration et Amélioration :</w:t>
      </w:r>
      <w:r w:rsidR="00DB1961" w:rsidRPr="00763EAE">
        <w:rPr>
          <w:rFonts w:ascii="Luciole" w:hAnsi="Luciole" w:cs="Calibri"/>
          <w:b/>
          <w:bCs/>
          <w:color w:val="000000"/>
        </w:rPr>
        <w:br/>
      </w:r>
    </w:p>
    <w:p w14:paraId="20EF35DE" w14:textId="5778B9FC" w:rsidR="00DB1961" w:rsidRPr="00763EAE" w:rsidRDefault="00DB1961" w:rsidP="00763EAE">
      <w:pPr>
        <w:pStyle w:val="NormalWeb"/>
        <w:spacing w:before="0" w:beforeAutospacing="0" w:after="0" w:afterAutospacing="0"/>
        <w:textAlignment w:val="baseline"/>
        <w:rPr>
          <w:rFonts w:ascii="Luciole" w:hAnsi="Luciole" w:cs="Calibri"/>
          <w:color w:val="000000"/>
        </w:rPr>
      </w:pPr>
      <w:r w:rsidRPr="00763EAE">
        <w:rPr>
          <w:rFonts w:ascii="Luciole" w:hAnsi="Luciole" w:cs="Calibri"/>
          <w:color w:val="000000"/>
        </w:rPr>
        <w:t xml:space="preserve">En plus de l'évaluation, la checklist offre des exemples concrets de bonnes pratiques, ainsi que des outils et des ressources pour renforcer l'inclusion des PSDH dans les entreprises. IMS met également à disposition des outils comme le site </w:t>
      </w:r>
      <w:r w:rsidRPr="00763EAE">
        <w:rPr>
          <w:rFonts w:ascii="Luciole" w:hAnsi="Luciole" w:cs="Calibri"/>
          <w:bCs/>
          <w:color w:val="000000"/>
        </w:rPr>
        <w:t>Handidiag.lu</w:t>
      </w:r>
      <w:r w:rsidRPr="00763EAE">
        <w:rPr>
          <w:rFonts w:ascii="Luciole" w:hAnsi="Luciole" w:cs="Calibri"/>
          <w:color w:val="000000"/>
        </w:rPr>
        <w:t>, qui permet d’évaluer et d'améliorer les pratiques d'accueil des PSDH.</w:t>
      </w:r>
    </w:p>
    <w:p w14:paraId="125DDC0C" w14:textId="77777777" w:rsidR="00DB1961" w:rsidRPr="00763EAE" w:rsidRDefault="00DB1961" w:rsidP="00763EAE">
      <w:pPr>
        <w:pStyle w:val="Paragraphedeliste"/>
        <w:spacing w:after="0" w:line="240" w:lineRule="auto"/>
        <w:ind w:left="0"/>
        <w:rPr>
          <w:rFonts w:ascii="Luciole" w:hAnsi="Luciole" w:cs="Calibri"/>
        </w:rPr>
      </w:pPr>
    </w:p>
    <w:p w14:paraId="4D83D72E" w14:textId="77777777" w:rsidR="00763EAE" w:rsidRDefault="00DB1961" w:rsidP="00763EAE">
      <w:pPr>
        <w:pStyle w:val="NormalWeb"/>
        <w:spacing w:before="0" w:beforeAutospacing="0" w:after="0" w:afterAutospacing="0"/>
        <w:textAlignment w:val="baseline"/>
        <w:rPr>
          <w:rFonts w:ascii="Luciole" w:hAnsi="Luciole" w:cs="Calibri"/>
          <w:color w:val="000000"/>
        </w:rPr>
      </w:pPr>
      <w:r w:rsidRPr="00763EAE">
        <w:rPr>
          <w:rFonts w:ascii="Luciole" w:hAnsi="Luciole" w:cs="Calibri"/>
          <w:b/>
          <w:bCs/>
          <w:color w:val="000000"/>
        </w:rPr>
        <w:t>Progression Continue :</w:t>
      </w:r>
      <w:r w:rsidRPr="00763EAE">
        <w:rPr>
          <w:rFonts w:ascii="Luciole" w:hAnsi="Luciole" w:cs="Calibri"/>
          <w:b/>
          <w:bCs/>
          <w:color w:val="000000"/>
        </w:rPr>
        <w:br/>
      </w:r>
    </w:p>
    <w:p w14:paraId="13F244E4" w14:textId="55E2E95C" w:rsidR="00DB1961" w:rsidRPr="00763EAE" w:rsidRDefault="00DB1961" w:rsidP="00763EAE">
      <w:pPr>
        <w:pStyle w:val="NormalWeb"/>
        <w:spacing w:before="0" w:beforeAutospacing="0" w:after="0" w:afterAutospacing="0"/>
        <w:textAlignment w:val="baseline"/>
        <w:rPr>
          <w:rFonts w:ascii="Luciole" w:hAnsi="Luciole" w:cs="Calibri"/>
          <w:color w:val="000000"/>
        </w:rPr>
      </w:pPr>
      <w:r w:rsidRPr="00763EAE">
        <w:rPr>
          <w:rFonts w:ascii="Luciole" w:hAnsi="Luciole" w:cs="Calibri"/>
          <w:color w:val="000000"/>
        </w:rPr>
        <w:t>L’approche adoptée par IMS se distingue par son orientation vers l'amélioration continue. Les entreprises sont encouragées à appliquer les recommandations et à participer à des ateliers collaboratifs. Elles partagent également leurs réussites avec d'autres acteurs économiques, ce qui permet de créer une dynamique collective en faveur de l'inclusion.</w:t>
      </w:r>
    </w:p>
    <w:p w14:paraId="5467564A" w14:textId="77777777" w:rsidR="00713ABB" w:rsidRDefault="00713ABB" w:rsidP="00763EAE">
      <w:pPr>
        <w:pStyle w:val="NormalWeb"/>
        <w:spacing w:before="0" w:beforeAutospacing="0" w:after="0" w:afterAutospacing="0"/>
        <w:textAlignment w:val="baseline"/>
        <w:rPr>
          <w:rFonts w:ascii="Luciole" w:hAnsi="Luciole" w:cs="Calibri"/>
          <w:color w:val="000000"/>
        </w:rPr>
      </w:pPr>
    </w:p>
    <w:p w14:paraId="7D1F4C9A" w14:textId="2AC128AC" w:rsidR="00763EAE" w:rsidRDefault="00763EAE">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06AC9FD0" w14:textId="7709F776" w:rsidR="00DB1961" w:rsidRPr="00763EAE" w:rsidRDefault="00DB1961" w:rsidP="00763EAE">
      <w:pPr>
        <w:pStyle w:val="Titre3"/>
        <w:numPr>
          <w:ilvl w:val="0"/>
          <w:numId w:val="0"/>
        </w:numPr>
        <w:spacing w:before="0" w:after="0" w:line="240" w:lineRule="auto"/>
        <w:rPr>
          <w:rFonts w:ascii="Luciole" w:eastAsia="Times New Roman" w:hAnsi="Luciole" w:cs="Times New Roman"/>
          <w:color w:val="auto"/>
          <w:kern w:val="0"/>
          <w:sz w:val="24"/>
          <w:lang w:val="fr-BE" w:eastAsia="fr-BE"/>
          <w14:ligatures w14:val="none"/>
        </w:rPr>
      </w:pPr>
      <w:r w:rsidRPr="00763EAE">
        <w:rPr>
          <w:rFonts w:ascii="Luciole" w:hAnsi="Luciole" w:cs="Calibri"/>
          <w:color w:val="000000"/>
          <w:sz w:val="24"/>
        </w:rPr>
        <w:lastRenderedPageBreak/>
        <w:t>DOMAINE</w:t>
      </w:r>
      <w:r w:rsidR="00713ABB" w:rsidRPr="00763EAE">
        <w:rPr>
          <w:rFonts w:ascii="Calibri" w:hAnsi="Calibri" w:cs="Calibri"/>
          <w:color w:val="000000"/>
          <w:sz w:val="24"/>
        </w:rPr>
        <w:t> </w:t>
      </w:r>
      <w:r w:rsidR="00713ABB" w:rsidRPr="00763EAE">
        <w:rPr>
          <w:rFonts w:ascii="Luciole" w:hAnsi="Luciole" w:cs="Calibri"/>
          <w:color w:val="000000"/>
          <w:sz w:val="24"/>
        </w:rPr>
        <w:t>:</w:t>
      </w:r>
    </w:p>
    <w:p w14:paraId="34CABC83" w14:textId="77777777" w:rsidR="00763EAE" w:rsidRDefault="00763EAE" w:rsidP="00763EAE">
      <w:pPr>
        <w:pStyle w:val="NormalWeb"/>
        <w:spacing w:before="0" w:beforeAutospacing="0" w:after="0" w:afterAutospacing="0"/>
        <w:rPr>
          <w:rFonts w:ascii="Luciole" w:hAnsi="Luciole" w:cs="Calibri"/>
          <w:b/>
          <w:bCs/>
          <w:color w:val="000000"/>
        </w:rPr>
      </w:pPr>
    </w:p>
    <w:p w14:paraId="60AEBE23" w14:textId="77777777" w:rsidR="00763EAE" w:rsidRDefault="00763EAE" w:rsidP="00763EAE">
      <w:pPr>
        <w:pStyle w:val="NormalWeb"/>
        <w:spacing w:before="0" w:beforeAutospacing="0" w:after="0" w:afterAutospacing="0"/>
        <w:rPr>
          <w:rFonts w:ascii="Luciole" w:hAnsi="Luciole" w:cs="Calibri"/>
          <w:b/>
          <w:bCs/>
          <w:color w:val="000000"/>
        </w:rPr>
      </w:pPr>
    </w:p>
    <w:p w14:paraId="3418379B"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Facilitation de l'accès à l'emploi :</w:t>
      </w:r>
      <w:r w:rsidRPr="00763EAE">
        <w:rPr>
          <w:rFonts w:ascii="Luciole" w:hAnsi="Luciole" w:cs="Calibri"/>
          <w:b/>
          <w:bCs/>
          <w:color w:val="000000"/>
        </w:rPr>
        <w:br/>
      </w:r>
    </w:p>
    <w:p w14:paraId="277B9FF1" w14:textId="201A0FC0" w:rsidR="00DB1961" w:rsidRP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color w:val="000000"/>
        </w:rPr>
        <w:t>La checklist aide les entreprises à recruter et intégrer efficacement des PSDH grâce à des outils pratiques et des formations spécifiques, favorisant ainsi l'accès des personnes en situation de dépendance et de handicap au marché du travail.</w:t>
      </w:r>
    </w:p>
    <w:p w14:paraId="3929CBBE" w14:textId="77777777" w:rsidR="00713ABB" w:rsidRDefault="00713ABB" w:rsidP="00763EAE">
      <w:pPr>
        <w:pStyle w:val="NormalWeb"/>
        <w:spacing w:before="0" w:beforeAutospacing="0" w:after="0" w:afterAutospacing="0"/>
        <w:rPr>
          <w:rFonts w:ascii="Luciole" w:hAnsi="Luciole" w:cs="Calibri"/>
          <w:color w:val="000000"/>
        </w:rPr>
      </w:pPr>
    </w:p>
    <w:p w14:paraId="22DAF572" w14:textId="77777777" w:rsidR="00763EAE" w:rsidRPr="00763EAE" w:rsidRDefault="00763EAE" w:rsidP="00763EAE">
      <w:pPr>
        <w:pStyle w:val="NormalWeb"/>
        <w:spacing w:before="0" w:beforeAutospacing="0" w:after="0" w:afterAutospacing="0"/>
        <w:rPr>
          <w:rFonts w:ascii="Luciole" w:hAnsi="Luciole" w:cs="Calibri"/>
          <w:color w:val="000000"/>
        </w:rPr>
      </w:pPr>
    </w:p>
    <w:p w14:paraId="4506CED6"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Formation spécialisée pour les éducateurs et professionnels :</w:t>
      </w:r>
      <w:r w:rsidRPr="00763EAE">
        <w:rPr>
          <w:rFonts w:ascii="Luciole" w:hAnsi="Luciole" w:cs="Calibri"/>
          <w:b/>
          <w:bCs/>
          <w:color w:val="000000"/>
        </w:rPr>
        <w:br/>
      </w:r>
    </w:p>
    <w:p w14:paraId="4CB3AEED" w14:textId="3139B8F7" w:rsidR="00DB1961" w:rsidRP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color w:val="000000"/>
        </w:rPr>
        <w:t>IMS propose des formations spécialisées pour les gestionnaires, les responsables RH et les éducateurs afin de leur donner les compétences nécessaires pour soutenir l'inclusion des PSDH dans les organisations.</w:t>
      </w:r>
    </w:p>
    <w:p w14:paraId="667FAB63" w14:textId="77777777" w:rsidR="00DB1961" w:rsidRDefault="00DB1961" w:rsidP="00763EAE">
      <w:pPr>
        <w:pStyle w:val="NormalWeb"/>
        <w:spacing w:before="0" w:beforeAutospacing="0" w:after="0" w:afterAutospacing="0"/>
        <w:rPr>
          <w:rFonts w:ascii="Luciole" w:hAnsi="Luciole"/>
        </w:rPr>
      </w:pPr>
    </w:p>
    <w:p w14:paraId="0E79B1AD" w14:textId="77777777" w:rsidR="00763EAE" w:rsidRPr="00763EAE" w:rsidRDefault="00763EAE" w:rsidP="00763EAE">
      <w:pPr>
        <w:pStyle w:val="NormalWeb"/>
        <w:spacing w:before="0" w:beforeAutospacing="0" w:after="0" w:afterAutospacing="0"/>
        <w:rPr>
          <w:rFonts w:ascii="Luciole" w:hAnsi="Luciole"/>
        </w:rPr>
      </w:pPr>
    </w:p>
    <w:p w14:paraId="17DC7024" w14:textId="4D1D5C2E" w:rsidR="00DB1961" w:rsidRPr="00763EAE" w:rsidRDefault="00DB1961" w:rsidP="00763EAE">
      <w:pPr>
        <w:pStyle w:val="Titre3"/>
        <w:numPr>
          <w:ilvl w:val="0"/>
          <w:numId w:val="0"/>
        </w:numPr>
        <w:spacing w:before="0" w:after="0" w:line="240" w:lineRule="auto"/>
        <w:rPr>
          <w:rFonts w:ascii="Luciole" w:eastAsia="Times New Roman" w:hAnsi="Luciole" w:cs="Times New Roman"/>
          <w:color w:val="auto"/>
          <w:kern w:val="0"/>
          <w:sz w:val="24"/>
          <w:lang w:val="fr-BE" w:eastAsia="fr-BE"/>
          <w14:ligatures w14:val="none"/>
        </w:rPr>
      </w:pPr>
      <w:r w:rsidRPr="00763EAE">
        <w:rPr>
          <w:rFonts w:ascii="Luciole" w:hAnsi="Luciole" w:cs="Calibri"/>
          <w:color w:val="000000"/>
          <w:sz w:val="24"/>
        </w:rPr>
        <w:t>PRODUITS / RÉSULTATS</w:t>
      </w:r>
      <w:r w:rsidR="00713ABB" w:rsidRPr="00763EAE">
        <w:rPr>
          <w:rFonts w:ascii="Calibri" w:hAnsi="Calibri" w:cs="Calibri"/>
          <w:color w:val="000000"/>
          <w:sz w:val="24"/>
        </w:rPr>
        <w:t> </w:t>
      </w:r>
      <w:r w:rsidR="00713ABB" w:rsidRPr="00763EAE">
        <w:rPr>
          <w:rFonts w:ascii="Luciole" w:hAnsi="Luciole" w:cs="Calibri"/>
          <w:color w:val="000000"/>
          <w:sz w:val="24"/>
        </w:rPr>
        <w:t>:</w:t>
      </w:r>
    </w:p>
    <w:p w14:paraId="6DA1FA6F" w14:textId="77777777" w:rsidR="00763EAE" w:rsidRDefault="00763EAE" w:rsidP="00763EAE">
      <w:pPr>
        <w:pStyle w:val="NormalWeb"/>
        <w:spacing w:before="0" w:beforeAutospacing="0" w:after="0" w:afterAutospacing="0"/>
        <w:rPr>
          <w:rFonts w:ascii="Luciole" w:hAnsi="Luciole" w:cs="Calibri"/>
          <w:b/>
          <w:bCs/>
          <w:color w:val="000000"/>
        </w:rPr>
      </w:pPr>
    </w:p>
    <w:p w14:paraId="7A116430" w14:textId="77777777" w:rsidR="00763EAE" w:rsidRDefault="00763EAE" w:rsidP="00763EAE">
      <w:pPr>
        <w:pStyle w:val="NormalWeb"/>
        <w:spacing w:before="0" w:beforeAutospacing="0" w:after="0" w:afterAutospacing="0"/>
        <w:rPr>
          <w:rFonts w:ascii="Luciole" w:hAnsi="Luciole" w:cs="Calibri"/>
          <w:b/>
          <w:bCs/>
          <w:color w:val="000000"/>
        </w:rPr>
      </w:pPr>
    </w:p>
    <w:p w14:paraId="083D8CFD"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Type de produit :</w:t>
      </w:r>
      <w:r w:rsidRPr="00763EAE">
        <w:rPr>
          <w:rFonts w:ascii="Luciole" w:hAnsi="Luciole" w:cs="Calibri"/>
          <w:b/>
          <w:bCs/>
          <w:color w:val="000000"/>
        </w:rPr>
        <w:br/>
      </w:r>
    </w:p>
    <w:p w14:paraId="7EC6D30A" w14:textId="3C5669A7" w:rsidR="00DB1961" w:rsidRPr="00763EAE" w:rsidRDefault="00DB1961" w:rsidP="00763EAE">
      <w:pPr>
        <w:pStyle w:val="NormalWeb"/>
        <w:spacing w:before="0" w:beforeAutospacing="0" w:after="0" w:afterAutospacing="0"/>
        <w:rPr>
          <w:rFonts w:ascii="Luciole" w:hAnsi="Luciole"/>
        </w:rPr>
      </w:pPr>
      <w:r w:rsidRPr="00763EAE">
        <w:rPr>
          <w:rFonts w:ascii="Luciole" w:hAnsi="Luciole" w:cs="Calibri"/>
          <w:color w:val="000000"/>
        </w:rPr>
        <w:t>Checklist imprimée et PDF, outils en ligne</w:t>
      </w:r>
    </w:p>
    <w:p w14:paraId="5A1FF7CB" w14:textId="77777777" w:rsidR="00763EAE" w:rsidRDefault="00763EAE" w:rsidP="00763EAE">
      <w:pPr>
        <w:spacing w:after="0" w:line="240" w:lineRule="auto"/>
        <w:ind w:left="0" w:firstLine="0"/>
        <w:rPr>
          <w:rFonts w:ascii="Luciole" w:hAnsi="Luciole" w:cs="Calibri"/>
          <w:bCs/>
          <w:sz w:val="24"/>
        </w:rPr>
      </w:pPr>
    </w:p>
    <w:p w14:paraId="17721591" w14:textId="77777777" w:rsidR="00763EAE" w:rsidRDefault="00763EAE" w:rsidP="00763EAE">
      <w:pPr>
        <w:spacing w:after="0" w:line="240" w:lineRule="auto"/>
        <w:ind w:left="0" w:firstLine="0"/>
        <w:rPr>
          <w:rFonts w:ascii="Luciole" w:hAnsi="Luciole" w:cs="Calibri"/>
          <w:bCs/>
          <w:sz w:val="24"/>
        </w:rPr>
      </w:pPr>
    </w:p>
    <w:p w14:paraId="0EB227F5" w14:textId="77777777" w:rsidR="00763EAE" w:rsidRDefault="00DB1961" w:rsidP="00763EAE">
      <w:pPr>
        <w:spacing w:after="0" w:line="240" w:lineRule="auto"/>
        <w:ind w:left="0" w:firstLine="0"/>
        <w:rPr>
          <w:rFonts w:ascii="Luciole" w:hAnsi="Luciole" w:cs="Calibri"/>
          <w:b w:val="0"/>
          <w:sz w:val="24"/>
        </w:rPr>
      </w:pPr>
      <w:r w:rsidRPr="00763EAE">
        <w:rPr>
          <w:rFonts w:ascii="Luciole" w:hAnsi="Luciole" w:cs="Calibri"/>
          <w:bCs/>
          <w:sz w:val="24"/>
        </w:rPr>
        <w:t>Brève</w:t>
      </w:r>
      <w:r w:rsidRPr="00763EAE">
        <w:rPr>
          <w:rFonts w:ascii="Luciole" w:hAnsi="Luciole" w:cs="Calibri"/>
          <w:b w:val="0"/>
          <w:bCs/>
          <w:sz w:val="24"/>
        </w:rPr>
        <w:t xml:space="preserve"> </w:t>
      </w:r>
      <w:r w:rsidRPr="00763EAE">
        <w:rPr>
          <w:rFonts w:ascii="Luciole" w:hAnsi="Luciole" w:cs="Calibri"/>
          <w:bCs/>
          <w:sz w:val="24"/>
        </w:rPr>
        <w:t>description :</w:t>
      </w:r>
      <w:r w:rsidRPr="00763EAE">
        <w:rPr>
          <w:rFonts w:ascii="Luciole" w:hAnsi="Luciole" w:cs="Calibri"/>
          <w:b w:val="0"/>
          <w:bCs/>
          <w:sz w:val="24"/>
        </w:rPr>
        <w:br/>
      </w:r>
    </w:p>
    <w:p w14:paraId="2D0E81FF" w14:textId="63B39208" w:rsidR="00777167" w:rsidRPr="00763EAE" w:rsidRDefault="00DB1961" w:rsidP="00763EAE">
      <w:pPr>
        <w:spacing w:after="0" w:line="240" w:lineRule="auto"/>
        <w:ind w:left="0" w:firstLine="0"/>
        <w:rPr>
          <w:rFonts w:ascii="Luciole" w:hAnsi="Luciole" w:cs="Calibri"/>
          <w:sz w:val="24"/>
        </w:rPr>
      </w:pPr>
      <w:r w:rsidRPr="00763EAE">
        <w:rPr>
          <w:rFonts w:ascii="Luciole" w:hAnsi="Luciole" w:cs="Calibri"/>
          <w:b w:val="0"/>
          <w:sz w:val="24"/>
        </w:rPr>
        <w:t>La</w:t>
      </w:r>
      <w:r w:rsidRPr="00763EAE">
        <w:rPr>
          <w:rFonts w:ascii="Luciole" w:hAnsi="Luciole" w:cs="Calibri"/>
          <w:sz w:val="24"/>
        </w:rPr>
        <w:t xml:space="preserve"> </w:t>
      </w:r>
      <w:r w:rsidRPr="00763EAE">
        <w:rPr>
          <w:rFonts w:ascii="Luciole" w:hAnsi="Luciole" w:cs="Calibri"/>
          <w:b w:val="0"/>
          <w:bCs/>
          <w:sz w:val="24"/>
        </w:rPr>
        <w:t xml:space="preserve">Checklist </w:t>
      </w:r>
      <w:proofErr w:type="spellStart"/>
      <w:r w:rsidRPr="00763EAE">
        <w:rPr>
          <w:rFonts w:ascii="Luciole" w:hAnsi="Luciole" w:cs="Calibri"/>
          <w:b w:val="0"/>
          <w:bCs/>
          <w:sz w:val="24"/>
        </w:rPr>
        <w:t>Handi</w:t>
      </w:r>
      <w:proofErr w:type="spellEnd"/>
      <w:r w:rsidRPr="00763EAE">
        <w:rPr>
          <w:rFonts w:ascii="Luciole" w:hAnsi="Luciole" w:cs="Calibri"/>
          <w:b w:val="0"/>
          <w:bCs/>
          <w:sz w:val="24"/>
        </w:rPr>
        <w:t>-accueillante</w:t>
      </w:r>
      <w:r w:rsidRPr="00763EAE">
        <w:rPr>
          <w:rFonts w:ascii="Luciole" w:hAnsi="Luciole" w:cs="Calibri"/>
          <w:sz w:val="24"/>
        </w:rPr>
        <w:t xml:space="preserve">, </w:t>
      </w:r>
      <w:r w:rsidRPr="00763EAE">
        <w:rPr>
          <w:rFonts w:ascii="Luciole" w:hAnsi="Luciole" w:cs="Calibri"/>
          <w:b w:val="0"/>
          <w:sz w:val="24"/>
        </w:rPr>
        <w:t>accompagnée d'outils tels que le site</w:t>
      </w:r>
      <w:r w:rsidRPr="00763EAE">
        <w:rPr>
          <w:rFonts w:ascii="Luciole" w:hAnsi="Luciole" w:cs="Calibri"/>
          <w:sz w:val="24"/>
        </w:rPr>
        <w:t xml:space="preserve"> </w:t>
      </w:r>
      <w:r w:rsidRPr="00763EAE">
        <w:rPr>
          <w:rFonts w:ascii="Luciole" w:hAnsi="Luciole" w:cs="Calibri"/>
          <w:b w:val="0"/>
          <w:bCs/>
          <w:sz w:val="24"/>
        </w:rPr>
        <w:t>Handidiag.lu</w:t>
      </w:r>
      <w:r w:rsidRPr="00763EAE">
        <w:rPr>
          <w:rFonts w:ascii="Luciole" w:hAnsi="Luciole" w:cs="Calibri"/>
          <w:sz w:val="24"/>
        </w:rPr>
        <w:t xml:space="preserve">, </w:t>
      </w:r>
      <w:r w:rsidRPr="00763EAE">
        <w:rPr>
          <w:rFonts w:ascii="Luciole" w:hAnsi="Luciole" w:cs="Calibri"/>
          <w:b w:val="0"/>
          <w:sz w:val="24"/>
        </w:rPr>
        <w:t>permet</w:t>
      </w:r>
      <w:r w:rsidRPr="00763EAE">
        <w:rPr>
          <w:rFonts w:ascii="Luciole" w:hAnsi="Luciole" w:cs="Calibri"/>
          <w:sz w:val="24"/>
        </w:rPr>
        <w:t xml:space="preserve"> </w:t>
      </w:r>
      <w:r w:rsidRPr="00763EAE">
        <w:rPr>
          <w:rFonts w:ascii="Luciole" w:hAnsi="Luciole" w:cs="Calibri"/>
          <w:b w:val="0"/>
          <w:sz w:val="24"/>
        </w:rPr>
        <w:t>aux entreprises de s'</w:t>
      </w:r>
      <w:proofErr w:type="spellStart"/>
      <w:r w:rsidRPr="00763EAE">
        <w:rPr>
          <w:rFonts w:ascii="Luciole" w:hAnsi="Luciole" w:cs="Calibri"/>
          <w:b w:val="0"/>
          <w:sz w:val="24"/>
        </w:rPr>
        <w:t>auto-évaluer</w:t>
      </w:r>
      <w:proofErr w:type="spellEnd"/>
      <w:r w:rsidRPr="00763EAE">
        <w:rPr>
          <w:rFonts w:ascii="Luciole" w:hAnsi="Luciole" w:cs="Calibri"/>
          <w:b w:val="0"/>
          <w:sz w:val="24"/>
        </w:rPr>
        <w:t xml:space="preserve"> sur leur niveau d'inclusion des PSDH. Elle propose également des ressources pratiques et des exemples concrets pour améliorer les pratiques inclusives et favoriser la réflexion continue sur ce sujet.</w:t>
      </w:r>
    </w:p>
    <w:p w14:paraId="1AA38662" w14:textId="3E751E22" w:rsidR="00DB1961" w:rsidRPr="00763EAE" w:rsidRDefault="00DB1961" w:rsidP="00763EAE">
      <w:pPr>
        <w:pStyle w:val="Titre3"/>
        <w:numPr>
          <w:ilvl w:val="0"/>
          <w:numId w:val="0"/>
        </w:numPr>
        <w:spacing w:before="0" w:after="0" w:line="240" w:lineRule="auto"/>
        <w:rPr>
          <w:rFonts w:ascii="Luciole" w:eastAsia="Times New Roman" w:hAnsi="Luciole" w:cs="Times New Roman"/>
          <w:color w:val="auto"/>
          <w:kern w:val="0"/>
          <w:sz w:val="24"/>
          <w:lang w:val="fr-BE" w:eastAsia="fr-BE"/>
          <w14:ligatures w14:val="none"/>
        </w:rPr>
      </w:pPr>
      <w:r w:rsidRPr="00763EAE">
        <w:rPr>
          <w:rFonts w:ascii="Luciole" w:hAnsi="Luciole" w:cs="Calibri"/>
          <w:color w:val="000000"/>
          <w:sz w:val="24"/>
        </w:rPr>
        <w:lastRenderedPageBreak/>
        <w:t>IMPACT ET TRANSFÉRABILITÉ</w:t>
      </w:r>
      <w:r w:rsidR="00713ABB" w:rsidRPr="00763EAE">
        <w:rPr>
          <w:rFonts w:ascii="Calibri" w:hAnsi="Calibri" w:cs="Calibri"/>
          <w:color w:val="000000"/>
          <w:sz w:val="24"/>
        </w:rPr>
        <w:t> </w:t>
      </w:r>
      <w:r w:rsidR="00713ABB" w:rsidRPr="00763EAE">
        <w:rPr>
          <w:rFonts w:ascii="Luciole" w:hAnsi="Luciole" w:cs="Calibri"/>
          <w:color w:val="000000"/>
          <w:sz w:val="24"/>
        </w:rPr>
        <w:t>:</w:t>
      </w:r>
    </w:p>
    <w:p w14:paraId="7AF6274D" w14:textId="77777777" w:rsidR="00763EAE" w:rsidRDefault="00763EAE" w:rsidP="00763EAE">
      <w:pPr>
        <w:pStyle w:val="NormalWeb"/>
        <w:spacing w:before="0" w:beforeAutospacing="0" w:after="0" w:afterAutospacing="0"/>
        <w:rPr>
          <w:rFonts w:ascii="Luciole" w:hAnsi="Luciole" w:cs="Calibri"/>
          <w:b/>
          <w:bCs/>
          <w:color w:val="000000"/>
        </w:rPr>
      </w:pPr>
    </w:p>
    <w:p w14:paraId="504EB27A" w14:textId="77777777" w:rsidR="00763EAE" w:rsidRDefault="00763EAE" w:rsidP="00763EAE">
      <w:pPr>
        <w:pStyle w:val="NormalWeb"/>
        <w:spacing w:before="0" w:beforeAutospacing="0" w:after="0" w:afterAutospacing="0"/>
        <w:rPr>
          <w:rFonts w:ascii="Luciole" w:hAnsi="Luciole" w:cs="Calibri"/>
          <w:b/>
          <w:bCs/>
          <w:color w:val="000000"/>
        </w:rPr>
      </w:pPr>
    </w:p>
    <w:p w14:paraId="7621D5BF" w14:textId="77777777" w:rsid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b/>
          <w:bCs/>
          <w:color w:val="000000"/>
        </w:rPr>
        <w:t>Impact sur les groupes cibles :</w:t>
      </w:r>
      <w:r w:rsidRPr="00763EAE">
        <w:rPr>
          <w:rFonts w:ascii="Luciole" w:hAnsi="Luciole" w:cs="Calibri"/>
          <w:b/>
          <w:bCs/>
          <w:color w:val="000000"/>
        </w:rPr>
        <w:br/>
      </w:r>
    </w:p>
    <w:p w14:paraId="0E671CEB" w14:textId="0B120204" w:rsidR="00DB1961" w:rsidRPr="00763EAE" w:rsidRDefault="00DB1961" w:rsidP="00763EAE">
      <w:pPr>
        <w:pStyle w:val="NormalWeb"/>
        <w:spacing w:before="0" w:beforeAutospacing="0" w:after="0" w:afterAutospacing="0"/>
        <w:rPr>
          <w:rFonts w:ascii="Luciole" w:hAnsi="Luciole" w:cs="Calibri"/>
          <w:color w:val="000000"/>
        </w:rPr>
      </w:pPr>
      <w:r w:rsidRPr="00763EAE">
        <w:rPr>
          <w:rFonts w:ascii="Luciole" w:hAnsi="Luciole" w:cs="Calibri"/>
          <w:color w:val="000000"/>
        </w:rPr>
        <w:t xml:space="preserve">L'initiative a permis à de nombreuses entreprises luxembourgeoises de mieux comprendre les enjeux liés à l'inclusion des PSDH et d'améliorer leurs pratiques en matière de diversité. Cela a renforcé la cohésion et l'inclusion dans les lieux de travail, tout en offrant un cadre d'évaluation structuré via des projets comme </w:t>
      </w:r>
      <w:r w:rsidRPr="00763EAE">
        <w:rPr>
          <w:rFonts w:ascii="Luciole" w:hAnsi="Luciole" w:cs="Calibri"/>
          <w:bCs/>
          <w:color w:val="000000"/>
        </w:rPr>
        <w:t>Handidiag.lu</w:t>
      </w:r>
      <w:r w:rsidRPr="00763EAE">
        <w:rPr>
          <w:rFonts w:ascii="Luciole" w:hAnsi="Luciole" w:cs="Calibri"/>
          <w:color w:val="000000"/>
        </w:rPr>
        <w:t xml:space="preserve"> pour soutenir le développement de plans d’action concrets.</w:t>
      </w:r>
    </w:p>
    <w:p w14:paraId="4ADED566" w14:textId="77777777" w:rsidR="00DB1961" w:rsidRDefault="00DB1961" w:rsidP="00763EAE">
      <w:pPr>
        <w:pStyle w:val="NormalWeb"/>
        <w:spacing w:before="0" w:beforeAutospacing="0" w:after="0" w:afterAutospacing="0"/>
        <w:rPr>
          <w:rFonts w:ascii="Luciole" w:hAnsi="Luciole"/>
        </w:rPr>
      </w:pPr>
    </w:p>
    <w:p w14:paraId="4CE41038" w14:textId="77777777" w:rsidR="00763EAE" w:rsidRPr="00763EAE" w:rsidRDefault="00763EAE" w:rsidP="00763EAE">
      <w:pPr>
        <w:pStyle w:val="NormalWeb"/>
        <w:spacing w:before="0" w:beforeAutospacing="0" w:after="0" w:afterAutospacing="0"/>
        <w:rPr>
          <w:rFonts w:ascii="Luciole" w:hAnsi="Luciole"/>
        </w:rPr>
      </w:pPr>
    </w:p>
    <w:p w14:paraId="644F1A18" w14:textId="77777777" w:rsidR="00763EAE" w:rsidRDefault="00DB1961" w:rsidP="00763EAE">
      <w:pPr>
        <w:spacing w:after="0" w:line="240" w:lineRule="auto"/>
        <w:ind w:left="0" w:firstLine="0"/>
        <w:rPr>
          <w:rFonts w:ascii="Luciole" w:hAnsi="Luciole" w:cs="Calibri"/>
          <w:b w:val="0"/>
          <w:sz w:val="24"/>
        </w:rPr>
      </w:pPr>
      <w:r w:rsidRPr="00763EAE">
        <w:rPr>
          <w:rFonts w:ascii="Luciole" w:hAnsi="Luciole" w:cs="Calibri"/>
          <w:bCs/>
          <w:sz w:val="24"/>
        </w:rPr>
        <w:t>Brève</w:t>
      </w:r>
      <w:r w:rsidRPr="00763EAE">
        <w:rPr>
          <w:rFonts w:ascii="Luciole" w:hAnsi="Luciole" w:cs="Calibri"/>
          <w:b w:val="0"/>
          <w:bCs/>
          <w:sz w:val="24"/>
        </w:rPr>
        <w:t xml:space="preserve"> </w:t>
      </w:r>
      <w:r w:rsidRPr="00763EAE">
        <w:rPr>
          <w:rFonts w:ascii="Luciole" w:hAnsi="Luciole" w:cs="Calibri"/>
          <w:bCs/>
          <w:sz w:val="24"/>
        </w:rPr>
        <w:t>description :</w:t>
      </w:r>
      <w:r w:rsidRPr="00763EAE">
        <w:rPr>
          <w:rFonts w:ascii="Luciole" w:hAnsi="Luciole" w:cs="Calibri"/>
          <w:b w:val="0"/>
          <w:bCs/>
          <w:sz w:val="24"/>
        </w:rPr>
        <w:br/>
      </w:r>
    </w:p>
    <w:p w14:paraId="5F89B280" w14:textId="49A8FE2F" w:rsidR="00DB1961" w:rsidRPr="00763EAE" w:rsidRDefault="00DB1961" w:rsidP="00763EAE">
      <w:pPr>
        <w:spacing w:after="0" w:line="240" w:lineRule="auto"/>
        <w:ind w:left="0" w:firstLine="0"/>
        <w:rPr>
          <w:rFonts w:ascii="Luciole" w:hAnsi="Luciole"/>
          <w:sz w:val="24"/>
        </w:rPr>
      </w:pPr>
      <w:bookmarkStart w:id="0" w:name="_GoBack"/>
      <w:bookmarkEnd w:id="0"/>
      <w:r w:rsidRPr="00763EAE">
        <w:rPr>
          <w:rFonts w:ascii="Luciole" w:hAnsi="Luciole" w:cs="Calibri"/>
          <w:b w:val="0"/>
          <w:sz w:val="24"/>
        </w:rPr>
        <w:t xml:space="preserve">Les outils développés par IMS, tels que la </w:t>
      </w:r>
      <w:r w:rsidRPr="00763EAE">
        <w:rPr>
          <w:rFonts w:ascii="Luciole" w:hAnsi="Luciole" w:cs="Calibri"/>
          <w:b w:val="0"/>
          <w:bCs/>
          <w:sz w:val="24"/>
        </w:rPr>
        <w:t xml:space="preserve">Checklist </w:t>
      </w:r>
      <w:proofErr w:type="spellStart"/>
      <w:r w:rsidRPr="00763EAE">
        <w:rPr>
          <w:rFonts w:ascii="Luciole" w:hAnsi="Luciole" w:cs="Calibri"/>
          <w:b w:val="0"/>
          <w:bCs/>
          <w:sz w:val="24"/>
        </w:rPr>
        <w:t>Handi</w:t>
      </w:r>
      <w:proofErr w:type="spellEnd"/>
      <w:r w:rsidRPr="00763EAE">
        <w:rPr>
          <w:rFonts w:ascii="Luciole" w:hAnsi="Luciole" w:cs="Calibri"/>
          <w:b w:val="0"/>
          <w:bCs/>
          <w:sz w:val="24"/>
        </w:rPr>
        <w:t>-accueillante</w:t>
      </w:r>
      <w:r w:rsidRPr="00763EAE">
        <w:rPr>
          <w:rFonts w:ascii="Luciole" w:hAnsi="Luciole" w:cs="Calibri"/>
          <w:b w:val="0"/>
          <w:sz w:val="24"/>
        </w:rPr>
        <w:t>, sont conçus pour être adaptables et transférables à d'autres contextes et pays. En ajustant les recommandations aux spécificités locales, ces pratiques peuvent soutenir l'inclusion des PSDH à plus grande échelle, favorisant la cohésion sociale.</w:t>
      </w:r>
    </w:p>
    <w:sectPr w:rsidR="00DB1961" w:rsidRPr="00763EAE"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EB68A" w14:textId="77777777" w:rsidR="00A8289B" w:rsidRDefault="00A8289B" w:rsidP="008D2C54">
      <w:r>
        <w:separator/>
      </w:r>
    </w:p>
  </w:endnote>
  <w:endnote w:type="continuationSeparator" w:id="0">
    <w:p w14:paraId="6D735BDA" w14:textId="77777777" w:rsidR="00A8289B" w:rsidRDefault="00A8289B"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057AAAAB-81F5-4011-9126-4578C5A02B1E}"/>
    <w:embedBold r:id="rId2" w:fontKey="{C020E56F-4A87-4FF5-96C1-1F1D77D0E25C}"/>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C570CD12-2ACA-4145-A5DE-CF710C3EFD48}"/>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763EAE">
          <w:rPr>
            <w:noProof/>
          </w:rPr>
          <w:t>5</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1396A" w14:textId="77777777" w:rsidR="00A8289B" w:rsidRDefault="00A8289B" w:rsidP="008D2C54">
      <w:r>
        <w:separator/>
      </w:r>
    </w:p>
  </w:footnote>
  <w:footnote w:type="continuationSeparator" w:id="0">
    <w:p w14:paraId="2CCE0428" w14:textId="77777777" w:rsidR="00A8289B" w:rsidRDefault="00A8289B"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763EAE">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DD5EA0"/>
    <w:multiLevelType w:val="multilevel"/>
    <w:tmpl w:val="BA1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12"/>
  </w:num>
  <w:num w:numId="4">
    <w:abstractNumId w:val="25"/>
  </w:num>
  <w:num w:numId="5">
    <w:abstractNumId w:val="2"/>
  </w:num>
  <w:num w:numId="6">
    <w:abstractNumId w:val="3"/>
  </w:num>
  <w:num w:numId="7">
    <w:abstractNumId w:val="22"/>
  </w:num>
  <w:num w:numId="8">
    <w:abstractNumId w:val="26"/>
  </w:num>
  <w:num w:numId="9">
    <w:abstractNumId w:val="7"/>
  </w:num>
  <w:num w:numId="10">
    <w:abstractNumId w:val="19"/>
  </w:num>
  <w:num w:numId="11">
    <w:abstractNumId w:val="21"/>
  </w:num>
  <w:num w:numId="12">
    <w:abstractNumId w:val="8"/>
  </w:num>
  <w:num w:numId="13">
    <w:abstractNumId w:val="1"/>
  </w:num>
  <w:num w:numId="14">
    <w:abstractNumId w:val="27"/>
  </w:num>
  <w:num w:numId="15">
    <w:abstractNumId w:val="11"/>
  </w:num>
  <w:num w:numId="16">
    <w:abstractNumId w:val="0"/>
  </w:num>
  <w:num w:numId="17">
    <w:abstractNumId w:val="17"/>
  </w:num>
  <w:num w:numId="18">
    <w:abstractNumId w:val="23"/>
  </w:num>
  <w:num w:numId="19">
    <w:abstractNumId w:val="9"/>
  </w:num>
  <w:num w:numId="20">
    <w:abstractNumId w:val="18"/>
  </w:num>
  <w:num w:numId="21">
    <w:abstractNumId w:val="6"/>
  </w:num>
  <w:num w:numId="22">
    <w:abstractNumId w:val="15"/>
  </w:num>
  <w:num w:numId="23">
    <w:abstractNumId w:val="20"/>
  </w:num>
  <w:num w:numId="24">
    <w:abstractNumId w:val="10"/>
  </w:num>
  <w:num w:numId="25">
    <w:abstractNumId w:val="16"/>
  </w:num>
  <w:num w:numId="26">
    <w:abstractNumId w:val="4"/>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B002B"/>
    <w:rsid w:val="001C06E4"/>
    <w:rsid w:val="002052FF"/>
    <w:rsid w:val="00283099"/>
    <w:rsid w:val="002860CC"/>
    <w:rsid w:val="00295C02"/>
    <w:rsid w:val="002E1F33"/>
    <w:rsid w:val="002F109E"/>
    <w:rsid w:val="003058F9"/>
    <w:rsid w:val="00344B35"/>
    <w:rsid w:val="00357120"/>
    <w:rsid w:val="003748C3"/>
    <w:rsid w:val="003C3CC2"/>
    <w:rsid w:val="003E67EF"/>
    <w:rsid w:val="00435290"/>
    <w:rsid w:val="0043677B"/>
    <w:rsid w:val="0049728F"/>
    <w:rsid w:val="004B742E"/>
    <w:rsid w:val="004C45B6"/>
    <w:rsid w:val="004D7D3D"/>
    <w:rsid w:val="004F69D1"/>
    <w:rsid w:val="00524350"/>
    <w:rsid w:val="00533A90"/>
    <w:rsid w:val="005B47C7"/>
    <w:rsid w:val="005D161E"/>
    <w:rsid w:val="006C2583"/>
    <w:rsid w:val="006C5B7A"/>
    <w:rsid w:val="006D53CC"/>
    <w:rsid w:val="00713ABB"/>
    <w:rsid w:val="00714AE0"/>
    <w:rsid w:val="00763EAE"/>
    <w:rsid w:val="00777167"/>
    <w:rsid w:val="007A1FBB"/>
    <w:rsid w:val="007D6C46"/>
    <w:rsid w:val="0086273E"/>
    <w:rsid w:val="008657EB"/>
    <w:rsid w:val="00875269"/>
    <w:rsid w:val="008B2213"/>
    <w:rsid w:val="008D2C54"/>
    <w:rsid w:val="008D7634"/>
    <w:rsid w:val="00967BB0"/>
    <w:rsid w:val="009E18D8"/>
    <w:rsid w:val="00A26B77"/>
    <w:rsid w:val="00A768BD"/>
    <w:rsid w:val="00A8289B"/>
    <w:rsid w:val="00AB6BC3"/>
    <w:rsid w:val="00AE07A3"/>
    <w:rsid w:val="00AF5BF2"/>
    <w:rsid w:val="00B412AC"/>
    <w:rsid w:val="00B93ED7"/>
    <w:rsid w:val="00B97622"/>
    <w:rsid w:val="00C13CAA"/>
    <w:rsid w:val="00C72994"/>
    <w:rsid w:val="00C976F9"/>
    <w:rsid w:val="00CE6F36"/>
    <w:rsid w:val="00D41596"/>
    <w:rsid w:val="00D82191"/>
    <w:rsid w:val="00D93F3C"/>
    <w:rsid w:val="00DB1961"/>
    <w:rsid w:val="00E936A3"/>
    <w:rsid w:val="00ED1093"/>
    <w:rsid w:val="00ED3DDF"/>
    <w:rsid w:val="00F07106"/>
    <w:rsid w:val="00F430B8"/>
    <w:rsid w:val="00F47743"/>
    <w:rsid w:val="00F50EA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DB1961"/>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9109">
      <w:bodyDiv w:val="1"/>
      <w:marLeft w:val="0"/>
      <w:marRight w:val="0"/>
      <w:marTop w:val="0"/>
      <w:marBottom w:val="0"/>
      <w:divBdr>
        <w:top w:val="none" w:sz="0" w:space="0" w:color="auto"/>
        <w:left w:val="none" w:sz="0" w:space="0" w:color="auto"/>
        <w:bottom w:val="none" w:sz="0" w:space="0" w:color="auto"/>
        <w:right w:val="none" w:sz="0" w:space="0" w:color="auto"/>
      </w:divBdr>
    </w:div>
    <w:div w:id="387807085">
      <w:bodyDiv w:val="1"/>
      <w:marLeft w:val="0"/>
      <w:marRight w:val="0"/>
      <w:marTop w:val="0"/>
      <w:marBottom w:val="0"/>
      <w:divBdr>
        <w:top w:val="none" w:sz="0" w:space="0" w:color="auto"/>
        <w:left w:val="none" w:sz="0" w:space="0" w:color="auto"/>
        <w:bottom w:val="none" w:sz="0" w:space="0" w:color="auto"/>
        <w:right w:val="none" w:sz="0" w:space="0" w:color="auto"/>
      </w:divBdr>
    </w:div>
    <w:div w:id="474107373">
      <w:bodyDiv w:val="1"/>
      <w:marLeft w:val="0"/>
      <w:marRight w:val="0"/>
      <w:marTop w:val="0"/>
      <w:marBottom w:val="0"/>
      <w:divBdr>
        <w:top w:val="none" w:sz="0" w:space="0" w:color="auto"/>
        <w:left w:val="none" w:sz="0" w:space="0" w:color="auto"/>
        <w:bottom w:val="none" w:sz="0" w:space="0" w:color="auto"/>
        <w:right w:val="none" w:sz="0" w:space="0" w:color="auto"/>
      </w:divBdr>
    </w:div>
    <w:div w:id="1183857282">
      <w:bodyDiv w:val="1"/>
      <w:marLeft w:val="0"/>
      <w:marRight w:val="0"/>
      <w:marTop w:val="0"/>
      <w:marBottom w:val="0"/>
      <w:divBdr>
        <w:top w:val="none" w:sz="0" w:space="0" w:color="auto"/>
        <w:left w:val="none" w:sz="0" w:space="0" w:color="auto"/>
        <w:bottom w:val="none" w:sz="0" w:space="0" w:color="auto"/>
        <w:right w:val="none" w:sz="0" w:space="0" w:color="auto"/>
      </w:divBdr>
    </w:div>
    <w:div w:id="1815028246">
      <w:bodyDiv w:val="1"/>
      <w:marLeft w:val="0"/>
      <w:marRight w:val="0"/>
      <w:marTop w:val="0"/>
      <w:marBottom w:val="0"/>
      <w:divBdr>
        <w:top w:val="none" w:sz="0" w:space="0" w:color="auto"/>
        <w:left w:val="none" w:sz="0" w:space="0" w:color="auto"/>
        <w:bottom w:val="none" w:sz="0" w:space="0" w:color="auto"/>
        <w:right w:val="none" w:sz="0" w:space="0" w:color="auto"/>
      </w:divBdr>
    </w:div>
    <w:div w:id="2116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lux.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artediversite.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A6D2-D36B-4D29-A337-D6D02D8C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14</TotalTime>
  <Pages>5</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8</cp:revision>
  <cp:lastPrinted>2024-12-23T11:09:00Z</cp:lastPrinted>
  <dcterms:created xsi:type="dcterms:W3CDTF">2024-12-28T12:58:00Z</dcterms:created>
  <dcterms:modified xsi:type="dcterms:W3CDTF">2024-12-30T15:59:00Z</dcterms:modified>
</cp:coreProperties>
</file>