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A7791" w14:textId="77777777" w:rsidR="00BA6A4C" w:rsidRPr="001762A0" w:rsidRDefault="00BA6A4C" w:rsidP="001762A0">
      <w:pPr>
        <w:pStyle w:val="TitreDocument"/>
        <w:spacing w:before="0" w:after="0" w:line="240" w:lineRule="auto"/>
        <w:rPr>
          <w:szCs w:val="24"/>
        </w:rPr>
      </w:pPr>
      <w:r w:rsidRPr="001762A0">
        <w:rPr>
          <w:szCs w:val="24"/>
        </w:rPr>
        <w:t>E-HANDI TOUR GUIDE DE L’INCLUSION INNOVANTE DES PSDH</w:t>
      </w:r>
    </w:p>
    <w:p w14:paraId="65823CDE" w14:textId="77777777" w:rsidR="001762A0" w:rsidRDefault="001762A0" w:rsidP="001762A0">
      <w:pPr>
        <w:pStyle w:val="TitreDocument"/>
        <w:spacing w:before="0" w:after="0" w:line="240" w:lineRule="auto"/>
        <w:rPr>
          <w:szCs w:val="24"/>
        </w:rPr>
      </w:pPr>
    </w:p>
    <w:p w14:paraId="41B9D0F0" w14:textId="77777777" w:rsidR="00BA6A4C" w:rsidRDefault="00BA6A4C" w:rsidP="001762A0">
      <w:pPr>
        <w:pStyle w:val="TitreDocument"/>
        <w:spacing w:before="0" w:after="0" w:line="240" w:lineRule="auto"/>
        <w:rPr>
          <w:color w:val="000000" w:themeColor="text1"/>
          <w:szCs w:val="24"/>
        </w:rPr>
      </w:pPr>
      <w:r w:rsidRPr="001762A0">
        <w:rPr>
          <w:color w:val="000000" w:themeColor="text1"/>
          <w:szCs w:val="24"/>
        </w:rPr>
        <w:t xml:space="preserve">Solution </w:t>
      </w:r>
      <w:proofErr w:type="spellStart"/>
      <w:r w:rsidRPr="001762A0">
        <w:rPr>
          <w:color w:val="000000" w:themeColor="text1"/>
          <w:szCs w:val="24"/>
        </w:rPr>
        <w:t>Acceo</w:t>
      </w:r>
      <w:proofErr w:type="spellEnd"/>
      <w:r w:rsidRPr="001762A0">
        <w:rPr>
          <w:color w:val="000000" w:themeColor="text1"/>
          <w:szCs w:val="24"/>
        </w:rPr>
        <w:t xml:space="preserve"> de Delta </w:t>
      </w:r>
      <w:proofErr w:type="spellStart"/>
      <w:r w:rsidRPr="001762A0">
        <w:rPr>
          <w:color w:val="000000" w:themeColor="text1"/>
          <w:szCs w:val="24"/>
        </w:rPr>
        <w:t>Process</w:t>
      </w:r>
      <w:proofErr w:type="spellEnd"/>
    </w:p>
    <w:p w14:paraId="5CC1FB0E" w14:textId="77777777" w:rsidR="001762A0" w:rsidRDefault="001762A0" w:rsidP="001762A0">
      <w:pPr>
        <w:pStyle w:val="TitreDocument"/>
        <w:spacing w:before="0" w:after="0" w:line="240" w:lineRule="auto"/>
        <w:rPr>
          <w:color w:val="000000" w:themeColor="text1"/>
          <w:szCs w:val="24"/>
        </w:rPr>
      </w:pPr>
    </w:p>
    <w:p w14:paraId="18C92E5E" w14:textId="77777777" w:rsidR="001762A0" w:rsidRPr="001762A0" w:rsidRDefault="001762A0" w:rsidP="001762A0">
      <w:pPr>
        <w:pStyle w:val="TitreDocument"/>
        <w:spacing w:before="0" w:after="0" w:line="240" w:lineRule="auto"/>
        <w:rPr>
          <w:color w:val="000000" w:themeColor="text1"/>
          <w:szCs w:val="24"/>
        </w:rPr>
      </w:pPr>
    </w:p>
    <w:p w14:paraId="10916A2C" w14:textId="67638ED9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Promoteur de l'initiative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79047D4C" w14:textId="77777777" w:rsidR="001762A0" w:rsidRDefault="001762A0" w:rsidP="001762A0">
      <w:pPr>
        <w:pStyle w:val="CelluleTableau"/>
        <w:spacing w:line="240" w:lineRule="auto"/>
        <w:ind w:left="0" w:right="0"/>
        <w:rPr>
          <w:rFonts w:eastAsiaTheme="minorEastAsia"/>
        </w:rPr>
      </w:pPr>
    </w:p>
    <w:p w14:paraId="35A2CB70" w14:textId="77777777" w:rsidR="00BA6A4C" w:rsidRPr="001762A0" w:rsidRDefault="00BA6A4C" w:rsidP="001762A0">
      <w:pPr>
        <w:pStyle w:val="CelluleTableau"/>
        <w:spacing w:line="240" w:lineRule="auto"/>
        <w:ind w:left="0" w:right="0"/>
        <w:rPr>
          <w:rFonts w:eastAsiaTheme="minorEastAsia"/>
        </w:rPr>
      </w:pPr>
      <w:r w:rsidRPr="001762A0">
        <w:rPr>
          <w:rFonts w:eastAsiaTheme="minorEastAsia"/>
        </w:rPr>
        <w:t xml:space="preserve">Delta </w:t>
      </w:r>
      <w:proofErr w:type="spellStart"/>
      <w:r w:rsidRPr="001762A0">
        <w:rPr>
          <w:rFonts w:eastAsiaTheme="minorEastAsia"/>
        </w:rPr>
        <w:t>Process</w:t>
      </w:r>
      <w:proofErr w:type="spellEnd"/>
    </w:p>
    <w:p w14:paraId="3C47D2CE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41635D08" w14:textId="57BB4374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Pays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2A6F0EF7" w14:textId="77777777" w:rsidR="001762A0" w:rsidRDefault="001762A0" w:rsidP="001762A0">
      <w:pPr>
        <w:pStyle w:val="CelluleTableau"/>
        <w:spacing w:line="240" w:lineRule="auto"/>
        <w:ind w:left="0" w:right="0"/>
        <w:rPr>
          <w:rFonts w:eastAsiaTheme="minorEastAsia"/>
        </w:rPr>
      </w:pPr>
    </w:p>
    <w:p w14:paraId="1BF4D17A" w14:textId="77777777" w:rsidR="00BA6A4C" w:rsidRPr="001762A0" w:rsidRDefault="00BA6A4C" w:rsidP="001762A0">
      <w:pPr>
        <w:pStyle w:val="CelluleTableau"/>
        <w:spacing w:line="240" w:lineRule="auto"/>
        <w:ind w:left="0" w:right="0"/>
        <w:rPr>
          <w:rFonts w:eastAsiaTheme="minorEastAsia"/>
        </w:rPr>
      </w:pPr>
      <w:r w:rsidRPr="001762A0">
        <w:rPr>
          <w:rFonts w:eastAsiaTheme="minorEastAsia"/>
        </w:rPr>
        <w:t>France</w:t>
      </w:r>
    </w:p>
    <w:p w14:paraId="019DE350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1A14F96F" w14:textId="14261990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Site internet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212635C7" w14:textId="77777777" w:rsidR="001762A0" w:rsidRDefault="001762A0" w:rsidP="001762A0">
      <w:pPr>
        <w:pStyle w:val="CelluleTableau"/>
        <w:spacing w:line="240" w:lineRule="auto"/>
        <w:ind w:left="0" w:right="0"/>
        <w:rPr>
          <w:rStyle w:val="Lienhypertexte"/>
          <w:rFonts w:eastAsiaTheme="minorEastAsia"/>
        </w:rPr>
      </w:pPr>
    </w:p>
    <w:p w14:paraId="31B1CF12" w14:textId="7F4ECFAB" w:rsidR="00BA6A4C" w:rsidRPr="001762A0" w:rsidRDefault="00C338E1" w:rsidP="001762A0">
      <w:pPr>
        <w:pStyle w:val="CelluleTableau"/>
        <w:spacing w:line="240" w:lineRule="auto"/>
        <w:ind w:left="0" w:right="0"/>
        <w:rPr>
          <w:rFonts w:eastAsiaTheme="minorEastAsia"/>
        </w:rPr>
      </w:pPr>
      <w:hyperlink r:id="rId8" w:tooltip="Site de Acceo" w:history="1">
        <w:r w:rsidR="00BA6A4C" w:rsidRPr="001762A0">
          <w:rPr>
            <w:rStyle w:val="Lienhypertexte"/>
            <w:rFonts w:eastAsiaTheme="minorEastAsia"/>
          </w:rPr>
          <w:t>https://www.acceo.eu</w:t>
        </w:r>
      </w:hyperlink>
    </w:p>
    <w:p w14:paraId="51E9D23C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0D61C4C7" w14:textId="267C0393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Contact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12331CF5" w14:textId="77777777" w:rsidR="001762A0" w:rsidRDefault="001762A0" w:rsidP="001762A0">
      <w:pPr>
        <w:pStyle w:val="CelluleTableau"/>
        <w:spacing w:line="240" w:lineRule="auto"/>
        <w:ind w:left="0" w:right="0"/>
        <w:rPr>
          <w:rStyle w:val="Lienhypertexte"/>
          <w:rFonts w:eastAsiaTheme="minorEastAsia"/>
        </w:rPr>
      </w:pPr>
    </w:p>
    <w:p w14:paraId="7AC6B498" w14:textId="6E556E79" w:rsidR="00BA6A4C" w:rsidRPr="001762A0" w:rsidRDefault="00C338E1" w:rsidP="001762A0">
      <w:pPr>
        <w:pStyle w:val="CelluleTableau"/>
        <w:spacing w:line="240" w:lineRule="auto"/>
        <w:ind w:left="0" w:right="0"/>
        <w:rPr>
          <w:rStyle w:val="Lienhypertexte"/>
          <w:rFonts w:eastAsiaTheme="minorEastAsia"/>
        </w:rPr>
      </w:pPr>
      <w:hyperlink r:id="rId9" w:tooltip="Page contact du site Acceo" w:history="1">
        <w:r w:rsidR="00BA6A4C" w:rsidRPr="001762A0">
          <w:rPr>
            <w:rStyle w:val="Lienhypertexte"/>
            <w:rFonts w:eastAsiaTheme="minorEastAsia"/>
          </w:rPr>
          <w:t>https://www.acceo.eu/contact</w:t>
        </w:r>
      </w:hyperlink>
    </w:p>
    <w:p w14:paraId="7EA1E1E9" w14:textId="77777777" w:rsidR="00DE3067" w:rsidRPr="001762A0" w:rsidRDefault="00DE3067" w:rsidP="001762A0">
      <w:pPr>
        <w:pStyle w:val="CelluleTableau"/>
        <w:spacing w:line="240" w:lineRule="auto"/>
        <w:ind w:left="0" w:right="0"/>
        <w:rPr>
          <w:rStyle w:val="Lienhypertexte"/>
          <w:rFonts w:eastAsiaTheme="minorEastAsia"/>
        </w:rPr>
      </w:pPr>
    </w:p>
    <w:p w14:paraId="23649ABD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340B352A" w14:textId="77777777" w:rsidR="00BA6A4C" w:rsidRPr="001762A0" w:rsidRDefault="00BA6A4C" w:rsidP="001762A0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1762A0">
        <w:rPr>
          <w:szCs w:val="24"/>
        </w:rPr>
        <w:t>DETAIL DE L’INITIATIVE :</w:t>
      </w:r>
    </w:p>
    <w:p w14:paraId="4DEA9402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3B3CE2A0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73010653" w14:textId="058C2864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Année(s) de mise en œuvre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29CEDC0F" w14:textId="77777777" w:rsidR="001762A0" w:rsidRDefault="001762A0" w:rsidP="001762A0">
      <w:pPr>
        <w:pStyle w:val="CelluleTableau"/>
        <w:spacing w:line="240" w:lineRule="auto"/>
        <w:ind w:left="0" w:right="0"/>
      </w:pPr>
    </w:p>
    <w:p w14:paraId="095C98F7" w14:textId="77777777" w:rsidR="00BA6A4C" w:rsidRPr="001762A0" w:rsidRDefault="00BA6A4C" w:rsidP="001762A0">
      <w:pPr>
        <w:pStyle w:val="CelluleTableau"/>
        <w:spacing w:line="240" w:lineRule="auto"/>
        <w:ind w:left="0" w:right="0"/>
      </w:pPr>
      <w:r w:rsidRPr="001762A0">
        <w:t>Depuis 2012</w:t>
      </w:r>
    </w:p>
    <w:p w14:paraId="7FDCED4F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5988E2F0" w14:textId="7376F91C" w:rsidR="001762A0" w:rsidRDefault="001762A0">
      <w:pPr>
        <w:rPr>
          <w:b/>
        </w:rPr>
      </w:pPr>
      <w:r>
        <w:br w:type="page"/>
      </w:r>
    </w:p>
    <w:p w14:paraId="3DB4A24B" w14:textId="77777777" w:rsidR="00DE3067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lastRenderedPageBreak/>
        <w:t>Groupe(s) cible(s) :</w:t>
      </w:r>
    </w:p>
    <w:p w14:paraId="79902910" w14:textId="1020FF3C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  <w:rPr>
          <w:b w:val="0"/>
        </w:rPr>
      </w:pPr>
      <w:r w:rsidRPr="001762A0">
        <w:rPr>
          <w:b w:val="0"/>
        </w:rPr>
        <w:t>Personnes</w:t>
      </w:r>
      <w:r w:rsidRPr="001762A0">
        <w:t xml:space="preserve"> </w:t>
      </w:r>
      <w:r w:rsidRPr="001762A0">
        <w:rPr>
          <w:b w:val="0"/>
        </w:rPr>
        <w:t>sourdes ou malentendantes, y compris sourd</w:t>
      </w:r>
      <w:r w:rsidR="00DE3067" w:rsidRPr="001762A0">
        <w:rPr>
          <w:b w:val="0"/>
        </w:rPr>
        <w:t>-</w:t>
      </w:r>
      <w:r w:rsidRPr="001762A0">
        <w:rPr>
          <w:b w:val="0"/>
        </w:rPr>
        <w:t xml:space="preserve">aveugles et aphasiques. </w:t>
      </w:r>
      <w:proofErr w:type="spellStart"/>
      <w:r w:rsidRPr="001762A0">
        <w:rPr>
          <w:b w:val="0"/>
        </w:rPr>
        <w:t>Acceo</w:t>
      </w:r>
      <w:proofErr w:type="spellEnd"/>
      <w:r w:rsidRPr="001762A0">
        <w:rPr>
          <w:b w:val="0"/>
        </w:rPr>
        <w:t xml:space="preserve"> est un service qui améliore l’accessibilité pour les personnes avec déficience auditi</w:t>
      </w:r>
      <w:r w:rsidR="00DE3067" w:rsidRPr="001762A0">
        <w:rPr>
          <w:b w:val="0"/>
        </w:rPr>
        <w:t>ve en proposant divers services.</w:t>
      </w:r>
    </w:p>
    <w:p w14:paraId="2E3DB3A1" w14:textId="77777777" w:rsidR="00DE3067" w:rsidRPr="001762A0" w:rsidRDefault="00DE3067" w:rsidP="001762A0">
      <w:pPr>
        <w:pStyle w:val="EnteteTableau"/>
        <w:numPr>
          <w:ilvl w:val="0"/>
          <w:numId w:val="0"/>
        </w:numPr>
        <w:spacing w:before="0" w:after="0"/>
        <w:rPr>
          <w:b w:val="0"/>
        </w:rPr>
      </w:pPr>
    </w:p>
    <w:p w14:paraId="2A8446AC" w14:textId="42A603F7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Description</w:t>
      </w:r>
      <w:r w:rsidR="00DE3067" w:rsidRPr="001762A0">
        <w:rPr>
          <w:rFonts w:ascii="Calibri" w:hAnsi="Calibri"/>
        </w:rPr>
        <w:t> </w:t>
      </w:r>
    </w:p>
    <w:p w14:paraId="75F2F098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0404FD92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4CFBDDFE" w14:textId="0DB7A1F3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Accessibilité téléphonique et physique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4E807160" w14:textId="77777777" w:rsidR="001762A0" w:rsidRDefault="001762A0" w:rsidP="001762A0">
      <w:pPr>
        <w:pStyle w:val="CelluleTableau"/>
        <w:spacing w:line="240" w:lineRule="auto"/>
        <w:ind w:left="0" w:right="0"/>
      </w:pPr>
    </w:p>
    <w:p w14:paraId="2F97F1B4" w14:textId="21080D88" w:rsidR="00BA6A4C" w:rsidRPr="001762A0" w:rsidRDefault="00BA6A4C" w:rsidP="001762A0">
      <w:pPr>
        <w:pStyle w:val="CelluleTableau"/>
        <w:spacing w:line="240" w:lineRule="auto"/>
        <w:ind w:left="0" w:right="0"/>
      </w:pPr>
      <w:proofErr w:type="spellStart"/>
      <w:r w:rsidRPr="001762A0">
        <w:t>Acceo</w:t>
      </w:r>
      <w:proofErr w:type="spellEnd"/>
      <w:r w:rsidRPr="001762A0">
        <w:t xml:space="preserve"> offre un accueil sur place et un échange en face à face. Ce service permet à la communauté sourde ou malentendante, y compris </w:t>
      </w:r>
      <w:proofErr w:type="spellStart"/>
      <w:r w:rsidRPr="001762A0">
        <w:t>sourdaveugle</w:t>
      </w:r>
      <w:proofErr w:type="spellEnd"/>
      <w:r w:rsidRPr="001762A0">
        <w:t xml:space="preserve"> et aphasique, de communiquer gratuitement avec tous les établissements rendus accessibles par </w:t>
      </w:r>
      <w:proofErr w:type="spellStart"/>
      <w:r w:rsidRPr="001762A0">
        <w:t>Acceo</w:t>
      </w:r>
      <w:proofErr w:type="spellEnd"/>
      <w:r w:rsidRPr="001762A0">
        <w:t>.</w:t>
      </w:r>
    </w:p>
    <w:p w14:paraId="58CC8E64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3A7F6520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77C53B70" w14:textId="63F657E9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Multi-supports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308A5794" w14:textId="77777777" w:rsidR="001762A0" w:rsidRDefault="001762A0" w:rsidP="001762A0">
      <w:pPr>
        <w:pStyle w:val="CelluleTableau"/>
        <w:spacing w:line="240" w:lineRule="auto"/>
        <w:ind w:left="0" w:right="0"/>
      </w:pPr>
    </w:p>
    <w:p w14:paraId="73204939" w14:textId="39A48669" w:rsidR="00BA6A4C" w:rsidRPr="001762A0" w:rsidRDefault="00BA6A4C" w:rsidP="001762A0">
      <w:pPr>
        <w:pStyle w:val="CelluleTableau"/>
        <w:spacing w:line="240" w:lineRule="auto"/>
        <w:ind w:left="0" w:right="0"/>
      </w:pPr>
      <w:proofErr w:type="spellStart"/>
      <w:r w:rsidRPr="001762A0">
        <w:t>Acceo</w:t>
      </w:r>
      <w:proofErr w:type="spellEnd"/>
      <w:r w:rsidRPr="001762A0">
        <w:t xml:space="preserve"> est disponible sur plusieurs plateformes, incluant les tablettes, smartphones, et ordinateurs, facilitant les échanges par téléphone ou en face à face.</w:t>
      </w:r>
    </w:p>
    <w:p w14:paraId="7C977D60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38A610CF" w14:textId="77777777" w:rsidR="00BA6A4C" w:rsidRPr="001762A0" w:rsidRDefault="00BA6A4C" w:rsidP="001762A0">
      <w:pPr>
        <w:spacing w:after="0" w:line="240" w:lineRule="auto"/>
        <w:rPr>
          <w:color w:val="auto"/>
        </w:rPr>
      </w:pPr>
    </w:p>
    <w:p w14:paraId="011CE661" w14:textId="73701BAE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Offres supplémentaires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464E8B3A" w14:textId="77777777" w:rsidR="001762A0" w:rsidRDefault="001762A0" w:rsidP="001762A0">
      <w:pPr>
        <w:pStyle w:val="CelluleTableau"/>
        <w:spacing w:line="240" w:lineRule="auto"/>
        <w:ind w:left="0" w:right="0"/>
        <w:rPr>
          <w:b/>
        </w:rPr>
      </w:pPr>
    </w:p>
    <w:p w14:paraId="4CBEBF79" w14:textId="77777777" w:rsidR="00BA6A4C" w:rsidRPr="001762A0" w:rsidRDefault="00BA6A4C" w:rsidP="001762A0">
      <w:pPr>
        <w:pStyle w:val="CelluleTableau"/>
        <w:numPr>
          <w:ilvl w:val="0"/>
          <w:numId w:val="28"/>
        </w:numPr>
        <w:spacing w:line="240" w:lineRule="auto"/>
        <w:ind w:right="0"/>
      </w:pPr>
      <w:proofErr w:type="spellStart"/>
      <w:r w:rsidRPr="001762A0">
        <w:rPr>
          <w:b/>
        </w:rPr>
        <w:t>AcceoLangues</w:t>
      </w:r>
      <w:proofErr w:type="spellEnd"/>
      <w:r w:rsidRPr="001762A0">
        <w:rPr>
          <w:b/>
        </w:rPr>
        <w:t xml:space="preserve"> : </w:t>
      </w:r>
      <w:r w:rsidRPr="001762A0">
        <w:t>Permet l'accès en plus de 100 langues pour les personnes entendantes non francophones lors de l'accueil sur place.</w:t>
      </w:r>
    </w:p>
    <w:p w14:paraId="127D4807" w14:textId="77777777" w:rsidR="006368A6" w:rsidRPr="001762A0" w:rsidRDefault="006368A6" w:rsidP="001762A0">
      <w:pPr>
        <w:pStyle w:val="CelluleTableau"/>
        <w:spacing w:line="240" w:lineRule="auto"/>
        <w:ind w:left="0" w:right="0"/>
      </w:pPr>
    </w:p>
    <w:p w14:paraId="4CC4738D" w14:textId="77777777" w:rsidR="00BA6A4C" w:rsidRPr="001762A0" w:rsidRDefault="00BA6A4C" w:rsidP="001762A0">
      <w:pPr>
        <w:pStyle w:val="CelluleTableau"/>
        <w:numPr>
          <w:ilvl w:val="0"/>
          <w:numId w:val="28"/>
        </w:numPr>
        <w:spacing w:line="240" w:lineRule="auto"/>
        <w:ind w:right="0"/>
      </w:pPr>
      <w:proofErr w:type="spellStart"/>
      <w:r w:rsidRPr="001762A0">
        <w:rPr>
          <w:b/>
        </w:rPr>
        <w:t>AcceoSoins</w:t>
      </w:r>
      <w:proofErr w:type="spellEnd"/>
      <w:r w:rsidRPr="001762A0">
        <w:rPr>
          <w:b/>
        </w:rPr>
        <w:t xml:space="preserve"> : </w:t>
      </w:r>
      <w:r w:rsidRPr="001762A0">
        <w:t xml:space="preserve">Assure l'accessibilité totale pour les patients sourds, malentendants, </w:t>
      </w:r>
      <w:proofErr w:type="spellStart"/>
      <w:r w:rsidRPr="001762A0">
        <w:t>sourdaveugles</w:t>
      </w:r>
      <w:proofErr w:type="spellEnd"/>
      <w:r w:rsidRPr="001762A0">
        <w:t xml:space="preserve"> ou aphasiques dans les établissements de santé, y compris pour ceux ne parlant pas français.</w:t>
      </w:r>
    </w:p>
    <w:p w14:paraId="2EE2D9CC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4FCA3D0D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2791D16C" w14:textId="77777777" w:rsidR="00BA6A4C" w:rsidRPr="001762A0" w:rsidRDefault="00BA6A4C" w:rsidP="001762A0">
      <w:pPr>
        <w:pStyle w:val="CelluleTableau"/>
        <w:numPr>
          <w:ilvl w:val="0"/>
          <w:numId w:val="28"/>
        </w:numPr>
        <w:spacing w:line="240" w:lineRule="auto"/>
        <w:ind w:right="0"/>
      </w:pPr>
      <w:proofErr w:type="spellStart"/>
      <w:r w:rsidRPr="001762A0">
        <w:rPr>
          <w:b/>
        </w:rPr>
        <w:lastRenderedPageBreak/>
        <w:t>AcceoSeniors</w:t>
      </w:r>
      <w:proofErr w:type="spellEnd"/>
      <w:r w:rsidRPr="001762A0">
        <w:rPr>
          <w:b/>
        </w:rPr>
        <w:t xml:space="preserve"> : </w:t>
      </w:r>
      <w:r w:rsidRPr="001762A0">
        <w:t xml:space="preserve">Augmente l'autonomie des résidents malentendants ou sourds dans les </w:t>
      </w:r>
      <w:proofErr w:type="spellStart"/>
      <w:r w:rsidRPr="001762A0">
        <w:t>Ehpad</w:t>
      </w:r>
      <w:proofErr w:type="spellEnd"/>
      <w:r w:rsidRPr="001762A0">
        <w:t xml:space="preserve"> ou autres établissements de santé.</w:t>
      </w:r>
    </w:p>
    <w:p w14:paraId="1B94705B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201BF6FA" w14:textId="77777777" w:rsidR="00BA6A4C" w:rsidRPr="001762A0" w:rsidRDefault="00BA6A4C" w:rsidP="001762A0">
      <w:pPr>
        <w:pStyle w:val="CelluleTableau"/>
        <w:numPr>
          <w:ilvl w:val="0"/>
          <w:numId w:val="28"/>
        </w:numPr>
        <w:spacing w:line="240" w:lineRule="auto"/>
        <w:ind w:right="0"/>
      </w:pPr>
      <w:proofErr w:type="spellStart"/>
      <w:r w:rsidRPr="001762A0">
        <w:rPr>
          <w:b/>
        </w:rPr>
        <w:t>AcceoEvents</w:t>
      </w:r>
      <w:proofErr w:type="spellEnd"/>
      <w:r w:rsidRPr="001762A0">
        <w:rPr>
          <w:b/>
        </w:rPr>
        <w:t xml:space="preserve"> : </w:t>
      </w:r>
      <w:r w:rsidRPr="001762A0">
        <w:t>Offre l'accessibilité en temps réel pour les événements tels que les conférences et webinaires, incluant la transcription en temps réel et la Langue des Signes Française (LSF).</w:t>
      </w:r>
    </w:p>
    <w:p w14:paraId="2BC95AE6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6BDE8705" w14:textId="77777777" w:rsidR="00BA6A4C" w:rsidRPr="001762A0" w:rsidRDefault="00BA6A4C" w:rsidP="001762A0">
      <w:pPr>
        <w:pStyle w:val="CelluleTableau"/>
        <w:numPr>
          <w:ilvl w:val="0"/>
          <w:numId w:val="28"/>
        </w:numPr>
        <w:spacing w:line="240" w:lineRule="auto"/>
        <w:ind w:right="0"/>
      </w:pPr>
      <w:proofErr w:type="spellStart"/>
      <w:r w:rsidRPr="001762A0">
        <w:rPr>
          <w:b/>
        </w:rPr>
        <w:t>AcceoVidéos</w:t>
      </w:r>
      <w:proofErr w:type="spellEnd"/>
      <w:r w:rsidRPr="001762A0">
        <w:rPr>
          <w:b/>
        </w:rPr>
        <w:t xml:space="preserve"> / Podcasts : </w:t>
      </w:r>
      <w:r w:rsidRPr="001762A0">
        <w:t xml:space="preserve">Rend accessible les supports vidéos ou podcasts via sous-titrage ou vignette LSF. </w:t>
      </w:r>
      <w:proofErr w:type="spellStart"/>
      <w:r w:rsidRPr="001762A0">
        <w:rPr>
          <w:b/>
        </w:rPr>
        <w:t>AcceoMinutes</w:t>
      </w:r>
      <w:proofErr w:type="spellEnd"/>
      <w:r w:rsidRPr="001762A0">
        <w:rPr>
          <w:b/>
        </w:rPr>
        <w:t xml:space="preserve"> : </w:t>
      </w:r>
      <w:r w:rsidRPr="001762A0">
        <w:t>Fournit un compte-rendu intégral des réunions ou procès-verbaux (CE/CSE, AG, CA, etc.) en français ou en anglais.</w:t>
      </w:r>
    </w:p>
    <w:p w14:paraId="66B0F2D5" w14:textId="77777777" w:rsidR="00DE3067" w:rsidRDefault="00DE3067" w:rsidP="001762A0">
      <w:pPr>
        <w:pStyle w:val="CelluleTableau"/>
        <w:spacing w:line="240" w:lineRule="auto"/>
        <w:ind w:left="0" w:right="0"/>
      </w:pPr>
    </w:p>
    <w:p w14:paraId="574AC7B1" w14:textId="77777777" w:rsidR="001762A0" w:rsidRPr="001762A0" w:rsidRDefault="001762A0" w:rsidP="001762A0">
      <w:pPr>
        <w:pStyle w:val="CelluleTableau"/>
        <w:spacing w:line="240" w:lineRule="auto"/>
        <w:ind w:left="0" w:right="0"/>
      </w:pPr>
    </w:p>
    <w:p w14:paraId="52EEBF7B" w14:textId="74E35E56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Méthodologie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6ADBA930" w14:textId="77777777" w:rsidR="001762A0" w:rsidRDefault="001762A0" w:rsidP="001762A0">
      <w:pPr>
        <w:pStyle w:val="CelluleTableau"/>
        <w:spacing w:line="240" w:lineRule="auto"/>
        <w:ind w:left="0" w:right="0"/>
      </w:pPr>
    </w:p>
    <w:p w14:paraId="2C34A47B" w14:textId="77777777" w:rsidR="00BA6A4C" w:rsidRPr="001762A0" w:rsidRDefault="00BA6A4C" w:rsidP="001762A0">
      <w:pPr>
        <w:pStyle w:val="CelluleTableau"/>
        <w:spacing w:line="240" w:lineRule="auto"/>
        <w:ind w:left="0" w:right="0"/>
      </w:pPr>
      <w:r w:rsidRPr="001762A0">
        <w:t>Utilisation de technologies multi-supports intégrant la Langue des Signes Française (LSF), la transcription en temps réel, et le sous-titrage vidéo pour faciliter la communication et l'accès aux services pour les personnes sourdes ou malentendantes.</w:t>
      </w:r>
    </w:p>
    <w:p w14:paraId="51A6F7C3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06F0455E" w14:textId="611B630E" w:rsidR="00BA6A4C" w:rsidRPr="001762A0" w:rsidRDefault="00BA6A4C" w:rsidP="001762A0">
      <w:pPr>
        <w:pStyle w:val="CelluleTableau"/>
        <w:spacing w:line="240" w:lineRule="auto"/>
        <w:ind w:left="0" w:right="0"/>
      </w:pPr>
    </w:p>
    <w:p w14:paraId="4AA1D23B" w14:textId="7CC5A7E2" w:rsidR="00BA6A4C" w:rsidRPr="001762A0" w:rsidRDefault="00BA6A4C" w:rsidP="001762A0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1762A0">
        <w:rPr>
          <w:szCs w:val="24"/>
        </w:rPr>
        <w:t>DOMAINE</w:t>
      </w:r>
      <w:r w:rsidR="00DE3067" w:rsidRPr="001762A0">
        <w:rPr>
          <w:rFonts w:ascii="Calibri" w:hAnsi="Calibri" w:cs="Calibri"/>
          <w:szCs w:val="24"/>
        </w:rPr>
        <w:t> </w:t>
      </w:r>
      <w:r w:rsidR="00DE3067" w:rsidRPr="001762A0">
        <w:rPr>
          <w:szCs w:val="24"/>
        </w:rPr>
        <w:t>:</w:t>
      </w:r>
    </w:p>
    <w:p w14:paraId="644FC757" w14:textId="77777777" w:rsidR="00BA6A4C" w:rsidRDefault="00BA6A4C" w:rsidP="001762A0">
      <w:pPr>
        <w:spacing w:after="0" w:line="240" w:lineRule="auto"/>
        <w:rPr>
          <w:color w:val="auto"/>
        </w:rPr>
      </w:pPr>
    </w:p>
    <w:p w14:paraId="07F6991E" w14:textId="77777777" w:rsidR="001762A0" w:rsidRPr="001762A0" w:rsidRDefault="001762A0" w:rsidP="001762A0">
      <w:pPr>
        <w:spacing w:after="0" w:line="240" w:lineRule="auto"/>
        <w:rPr>
          <w:color w:val="auto"/>
        </w:rPr>
      </w:pPr>
    </w:p>
    <w:p w14:paraId="6F9CDC5D" w14:textId="422B14CA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Outils et services de compensation du handicap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6FBED4B8" w14:textId="77777777" w:rsidR="00BA6A4C" w:rsidRPr="001762A0" w:rsidRDefault="00BA6A4C" w:rsidP="001762A0">
      <w:pPr>
        <w:pStyle w:val="CelluleTableau"/>
        <w:spacing w:line="240" w:lineRule="auto"/>
        <w:ind w:left="0" w:right="0"/>
      </w:pPr>
      <w:r w:rsidRPr="001762A0">
        <w:t>Fournit une communication adaptée aux besoins des personnes sourdes ou malentendantes.</w:t>
      </w:r>
    </w:p>
    <w:p w14:paraId="09C94F98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419B51BE" w14:textId="387D09D7" w:rsidR="001762A0" w:rsidRDefault="001762A0">
      <w:pPr>
        <w:rPr>
          <w:rFonts w:eastAsia="Times New Roman" w:cs="Times New Roman"/>
        </w:rPr>
      </w:pPr>
      <w:r>
        <w:br w:type="page"/>
      </w:r>
    </w:p>
    <w:p w14:paraId="2FEF5A9E" w14:textId="77777777" w:rsidR="00BA6A4C" w:rsidRPr="001762A0" w:rsidRDefault="00BA6A4C" w:rsidP="001762A0">
      <w:pPr>
        <w:pStyle w:val="CelluleTableau"/>
        <w:tabs>
          <w:tab w:val="left" w:pos="2198"/>
        </w:tabs>
        <w:spacing w:line="240" w:lineRule="auto"/>
        <w:ind w:left="0" w:right="0"/>
      </w:pPr>
    </w:p>
    <w:p w14:paraId="7E9BBC0A" w14:textId="77777777" w:rsidR="00BA6A4C" w:rsidRPr="001762A0" w:rsidRDefault="00BA6A4C" w:rsidP="001762A0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1762A0">
        <w:rPr>
          <w:szCs w:val="24"/>
        </w:rPr>
        <w:t>PRODUITS / RÉSULTATS :</w:t>
      </w:r>
    </w:p>
    <w:p w14:paraId="73178E07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69B0A37E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3789B98E" w14:textId="0AB19557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Type de produit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0C742D41" w14:textId="77777777" w:rsidR="001762A0" w:rsidRDefault="001762A0" w:rsidP="001762A0">
      <w:pPr>
        <w:pStyle w:val="CelluleTableau"/>
        <w:spacing w:line="240" w:lineRule="auto"/>
        <w:ind w:left="0" w:right="0"/>
      </w:pPr>
    </w:p>
    <w:p w14:paraId="39A0420C" w14:textId="7295C9E6" w:rsidR="00BA6A4C" w:rsidRPr="001762A0" w:rsidRDefault="00BA6A4C" w:rsidP="001762A0">
      <w:pPr>
        <w:pStyle w:val="CelluleTableau"/>
        <w:spacing w:line="240" w:lineRule="auto"/>
        <w:ind w:left="0" w:right="0"/>
      </w:pPr>
      <w:r w:rsidRPr="001762A0">
        <w:t>Service en ligne, application mobile</w:t>
      </w:r>
      <w:r w:rsidR="00DE3067" w:rsidRPr="001762A0">
        <w:t>.</w:t>
      </w:r>
    </w:p>
    <w:p w14:paraId="59BAE952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776F77F5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54128872" w14:textId="389F2223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Brève description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5FF8BF86" w14:textId="77777777" w:rsidR="001762A0" w:rsidRDefault="001762A0" w:rsidP="001762A0">
      <w:pPr>
        <w:pStyle w:val="CelluleTableau"/>
        <w:spacing w:line="240" w:lineRule="auto"/>
        <w:ind w:left="0" w:right="0"/>
      </w:pPr>
    </w:p>
    <w:p w14:paraId="66095F32" w14:textId="77777777" w:rsidR="00BA6A4C" w:rsidRPr="001762A0" w:rsidRDefault="00BA6A4C" w:rsidP="001762A0">
      <w:pPr>
        <w:pStyle w:val="CelluleTableau"/>
        <w:spacing w:line="240" w:lineRule="auto"/>
        <w:ind w:left="0" w:right="0"/>
      </w:pPr>
      <w:r w:rsidRPr="001762A0">
        <w:t>Mise à disposition d’une plateforme de communication qui intègre des outils de LSF, sous-titrage en temps réel et transcription, accessible via des applications pour smartphones, tablettes et ordinateurs.</w:t>
      </w:r>
    </w:p>
    <w:p w14:paraId="4BED782C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7028198E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1095DC94" w14:textId="77777777" w:rsidR="00BA6A4C" w:rsidRPr="001762A0" w:rsidRDefault="00BA6A4C" w:rsidP="001762A0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1762A0">
        <w:rPr>
          <w:szCs w:val="24"/>
        </w:rPr>
        <w:t>IMPACT ET TRANSFÉRABILITÉ :</w:t>
      </w:r>
    </w:p>
    <w:p w14:paraId="64D85843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5ABEE159" w14:textId="77777777" w:rsidR="001762A0" w:rsidRDefault="001762A0" w:rsidP="001762A0">
      <w:pPr>
        <w:pStyle w:val="EnteteTableau"/>
        <w:numPr>
          <w:ilvl w:val="0"/>
          <w:numId w:val="0"/>
        </w:numPr>
        <w:spacing w:before="0" w:after="0"/>
      </w:pPr>
    </w:p>
    <w:p w14:paraId="74B2ED5C" w14:textId="5DB4E794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  <w:rPr>
          <w:color w:val="auto"/>
        </w:rPr>
      </w:pPr>
      <w:r w:rsidRPr="001762A0">
        <w:t xml:space="preserve">Impact sur les groupes </w:t>
      </w:r>
      <w:r w:rsidRPr="001762A0">
        <w:rPr>
          <w:rFonts w:eastAsia="Times New Roman" w:cs="Times New Roman"/>
          <w:color w:val="auto"/>
        </w:rPr>
        <w:t>cibles</w:t>
      </w:r>
      <w:r w:rsidR="00DE3067" w:rsidRPr="001762A0">
        <w:rPr>
          <w:rFonts w:ascii="Calibri" w:eastAsia="Times New Roman" w:hAnsi="Calibri"/>
          <w:color w:val="auto"/>
        </w:rPr>
        <w:t> </w:t>
      </w:r>
      <w:r w:rsidR="00DE3067" w:rsidRPr="001762A0">
        <w:rPr>
          <w:rFonts w:eastAsia="Times New Roman" w:cs="Times New Roman"/>
          <w:color w:val="auto"/>
        </w:rPr>
        <w:t>:</w:t>
      </w:r>
    </w:p>
    <w:p w14:paraId="67D7F975" w14:textId="77777777" w:rsidR="001762A0" w:rsidRDefault="001762A0" w:rsidP="001762A0">
      <w:pPr>
        <w:pStyle w:val="CelluleTableau"/>
        <w:spacing w:line="240" w:lineRule="auto"/>
        <w:ind w:left="0" w:right="0"/>
      </w:pPr>
    </w:p>
    <w:p w14:paraId="6E6968CB" w14:textId="77777777" w:rsidR="00BA6A4C" w:rsidRPr="001762A0" w:rsidRDefault="00BA6A4C" w:rsidP="001762A0">
      <w:pPr>
        <w:pStyle w:val="CelluleTableau"/>
        <w:spacing w:line="240" w:lineRule="auto"/>
        <w:ind w:left="0" w:right="0"/>
      </w:pPr>
      <w:r w:rsidRPr="001762A0">
        <w:t>Amélioration significative de l'accessibilité des services pour les personnes sourdes ou malentendantes, facilitant leur inclusion sociale et professionnelle.</w:t>
      </w:r>
    </w:p>
    <w:p w14:paraId="00250F4E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28C8E473" w14:textId="77777777" w:rsidR="00DE3067" w:rsidRPr="001762A0" w:rsidRDefault="00DE3067" w:rsidP="001762A0">
      <w:pPr>
        <w:pStyle w:val="CelluleTableau"/>
        <w:spacing w:line="240" w:lineRule="auto"/>
        <w:ind w:left="0" w:right="0"/>
      </w:pPr>
    </w:p>
    <w:p w14:paraId="799B2C56" w14:textId="5D5C1CAC" w:rsidR="00BA6A4C" w:rsidRPr="001762A0" w:rsidRDefault="00BA6A4C" w:rsidP="001762A0">
      <w:pPr>
        <w:pStyle w:val="EnteteTableau"/>
        <w:numPr>
          <w:ilvl w:val="0"/>
          <w:numId w:val="0"/>
        </w:numPr>
        <w:spacing w:before="0" w:after="0"/>
      </w:pPr>
      <w:r w:rsidRPr="001762A0">
        <w:t>Brève description</w:t>
      </w:r>
      <w:r w:rsidR="00DE3067" w:rsidRPr="001762A0">
        <w:rPr>
          <w:rFonts w:ascii="Calibri" w:hAnsi="Calibri"/>
        </w:rPr>
        <w:t> </w:t>
      </w:r>
      <w:r w:rsidR="00DE3067" w:rsidRPr="001762A0">
        <w:t>:</w:t>
      </w:r>
    </w:p>
    <w:p w14:paraId="6389ED72" w14:textId="77777777" w:rsidR="001762A0" w:rsidRDefault="001762A0" w:rsidP="001762A0">
      <w:pPr>
        <w:pStyle w:val="CelluleTableau"/>
        <w:spacing w:line="240" w:lineRule="auto"/>
        <w:ind w:left="0" w:right="0"/>
      </w:pPr>
    </w:p>
    <w:p w14:paraId="1B9980F5" w14:textId="48FE479C" w:rsidR="00777167" w:rsidRPr="001762A0" w:rsidRDefault="00BA6A4C" w:rsidP="001762A0">
      <w:pPr>
        <w:pStyle w:val="CelluleTableau"/>
        <w:spacing w:line="240" w:lineRule="auto"/>
        <w:ind w:left="0" w:right="0"/>
      </w:pPr>
      <w:bookmarkStart w:id="0" w:name="_GoBack"/>
      <w:bookmarkEnd w:id="0"/>
      <w:r w:rsidRPr="001762A0">
        <w:t>Cette pratique peut être adaptée et mise en œuvre dans divers secteurs (public, santé, éducation, commerce) et régions, visant à généraliser l'accessibilité et l'autonomie des personnes avec des déficiences auditives.</w:t>
      </w:r>
    </w:p>
    <w:sectPr w:rsidR="00777167" w:rsidRPr="001762A0" w:rsidSect="001C06E4">
      <w:headerReference w:type="default" r:id="rId10"/>
      <w:footerReference w:type="default" r:id="rId11"/>
      <w:pgSz w:w="11906" w:h="16838"/>
      <w:pgMar w:top="1843" w:right="849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24F89" w14:textId="77777777" w:rsidR="00C338E1" w:rsidRDefault="00C338E1" w:rsidP="008D2C54">
      <w:r>
        <w:separator/>
      </w:r>
    </w:p>
  </w:endnote>
  <w:endnote w:type="continuationSeparator" w:id="0">
    <w:p w14:paraId="56700558" w14:textId="77777777" w:rsidR="00C338E1" w:rsidRDefault="00C338E1" w:rsidP="008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AE37AC5A-9871-492E-987D-DF7E01744C49}"/>
    <w:embedBold r:id="rId2" w:fontKey="{A4DB5E0C-553D-444A-A366-296382D9E792}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13F9202F-38A2-44FF-8BF5-E4B96419C6E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08608"/>
      <w:docPartObj>
        <w:docPartGallery w:val="Page Numbers (Bottom of Page)"/>
        <w:docPartUnique/>
      </w:docPartObj>
    </w:sdtPr>
    <w:sdtEndPr/>
    <w:sdtContent>
      <w:p w14:paraId="4C20AD3D" w14:textId="77777777" w:rsidR="001C06E4" w:rsidRDefault="001C06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A0">
          <w:rPr>
            <w:noProof/>
          </w:rPr>
          <w:t>4</w:t>
        </w:r>
        <w:r>
          <w:fldChar w:fldCharType="end"/>
        </w:r>
      </w:p>
    </w:sdtContent>
  </w:sdt>
  <w:p w14:paraId="1CA2E6D0" w14:textId="77777777" w:rsidR="001C06E4" w:rsidRDefault="001C0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343F0" w14:textId="77777777" w:rsidR="00C338E1" w:rsidRDefault="00C338E1" w:rsidP="008D2C54">
      <w:r>
        <w:separator/>
      </w:r>
    </w:p>
  </w:footnote>
  <w:footnote w:type="continuationSeparator" w:id="0">
    <w:p w14:paraId="4D595AE4" w14:textId="77777777" w:rsidR="00C338E1" w:rsidRDefault="00C338E1" w:rsidP="008D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B0C65" w14:textId="77777777" w:rsidR="008D2C54" w:rsidRDefault="00F8340D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0A398963" wp14:editId="5C58588E">
          <wp:simplePos x="0" y="0"/>
          <wp:positionH relativeFrom="column">
            <wp:posOffset>4933950</wp:posOffset>
          </wp:positionH>
          <wp:positionV relativeFrom="paragraph">
            <wp:posOffset>-286385</wp:posOffset>
          </wp:positionV>
          <wp:extent cx="990600" cy="990600"/>
          <wp:effectExtent l="0" t="0" r="0" b="0"/>
          <wp:wrapNone/>
          <wp:docPr id="1358855497" name="Image 1358855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handi tour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54">
      <w:rPr>
        <w:noProof/>
        <w:lang w:val="fr-BE" w:eastAsia="fr-BE"/>
      </w:rPr>
      <w:drawing>
        <wp:inline distT="0" distB="0" distL="0" distR="0" wp14:anchorId="444A2544" wp14:editId="6B8467D5">
          <wp:extent cx="2872008" cy="589154"/>
          <wp:effectExtent l="0" t="0" r="0" b="0"/>
          <wp:docPr id="1358855498" name="image2.jpg" descr="Une image contenant texte, Police, Bleu électriqu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Bleu électrique, capture d’écra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008" cy="589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974700" w14:textId="77777777" w:rsidR="008D2C54" w:rsidRDefault="008D2C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CAB"/>
    <w:multiLevelType w:val="hybridMultilevel"/>
    <w:tmpl w:val="E35E1F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90C"/>
    <w:multiLevelType w:val="hybridMultilevel"/>
    <w:tmpl w:val="37A65A20"/>
    <w:lvl w:ilvl="0" w:tplc="33440662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26290"/>
    <w:multiLevelType w:val="multilevel"/>
    <w:tmpl w:val="A4BA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C8379A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6B0AE5"/>
    <w:multiLevelType w:val="hybridMultilevel"/>
    <w:tmpl w:val="31E0C7EA"/>
    <w:lvl w:ilvl="0" w:tplc="ECAAF1E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7144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584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7C7C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CB2E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7BD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EB842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4BBE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2CEF8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363F2"/>
    <w:multiLevelType w:val="multilevel"/>
    <w:tmpl w:val="027C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E57F22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1C19"/>
    <w:multiLevelType w:val="multilevel"/>
    <w:tmpl w:val="F29AA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7D7F2F"/>
    <w:multiLevelType w:val="multilevel"/>
    <w:tmpl w:val="2230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D54D26"/>
    <w:multiLevelType w:val="multilevel"/>
    <w:tmpl w:val="D9809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315B67"/>
    <w:multiLevelType w:val="multilevel"/>
    <w:tmpl w:val="2FB0F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01554"/>
    <w:multiLevelType w:val="hybridMultilevel"/>
    <w:tmpl w:val="CEEAA4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55C"/>
    <w:multiLevelType w:val="multilevel"/>
    <w:tmpl w:val="ADD0737E"/>
    <w:lvl w:ilvl="0">
      <w:start w:val="1"/>
      <w:numFmt w:val="bullet"/>
      <w:pStyle w:val="EnteteTableau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9483EE2"/>
    <w:multiLevelType w:val="hybridMultilevel"/>
    <w:tmpl w:val="258840EC"/>
    <w:lvl w:ilvl="0" w:tplc="03808F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6B78C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A9E6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8B5D8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28A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A39C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C082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3E7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ECB1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479CB"/>
    <w:multiLevelType w:val="hybridMultilevel"/>
    <w:tmpl w:val="4664C1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57AA8"/>
    <w:multiLevelType w:val="multilevel"/>
    <w:tmpl w:val="EB1877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5C31904"/>
    <w:multiLevelType w:val="hybridMultilevel"/>
    <w:tmpl w:val="D0A27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2D76EA"/>
    <w:multiLevelType w:val="multilevel"/>
    <w:tmpl w:val="740692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8" w15:restartNumberingAfterBreak="0">
    <w:nsid w:val="4DAE6316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E3F0A72"/>
    <w:multiLevelType w:val="hybridMultilevel"/>
    <w:tmpl w:val="D2FA7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D7C58"/>
    <w:multiLevelType w:val="hybridMultilevel"/>
    <w:tmpl w:val="388241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6B1E1F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5531F88"/>
    <w:multiLevelType w:val="multilevel"/>
    <w:tmpl w:val="DB0CF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6F2499"/>
    <w:multiLevelType w:val="hybridMultilevel"/>
    <w:tmpl w:val="04CEB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624BD"/>
    <w:multiLevelType w:val="hybridMultilevel"/>
    <w:tmpl w:val="63845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62872"/>
    <w:multiLevelType w:val="multilevel"/>
    <w:tmpl w:val="1F1C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B7167D3"/>
    <w:multiLevelType w:val="hybridMultilevel"/>
    <w:tmpl w:val="5AA624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F2B75"/>
    <w:multiLevelType w:val="hybridMultilevel"/>
    <w:tmpl w:val="29A04080"/>
    <w:lvl w:ilvl="0" w:tplc="DAFC73BA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5"/>
  </w:num>
  <w:num w:numId="5">
    <w:abstractNumId w:val="2"/>
  </w:num>
  <w:num w:numId="6">
    <w:abstractNumId w:val="3"/>
  </w:num>
  <w:num w:numId="7">
    <w:abstractNumId w:val="22"/>
  </w:num>
  <w:num w:numId="8">
    <w:abstractNumId w:val="26"/>
  </w:num>
  <w:num w:numId="9">
    <w:abstractNumId w:val="6"/>
  </w:num>
  <w:num w:numId="10">
    <w:abstractNumId w:val="18"/>
  </w:num>
  <w:num w:numId="11">
    <w:abstractNumId w:val="21"/>
  </w:num>
  <w:num w:numId="12">
    <w:abstractNumId w:val="7"/>
  </w:num>
  <w:num w:numId="13">
    <w:abstractNumId w:val="1"/>
  </w:num>
  <w:num w:numId="14">
    <w:abstractNumId w:val="27"/>
  </w:num>
  <w:num w:numId="15">
    <w:abstractNumId w:val="10"/>
  </w:num>
  <w:num w:numId="16">
    <w:abstractNumId w:val="0"/>
  </w:num>
  <w:num w:numId="17">
    <w:abstractNumId w:val="16"/>
  </w:num>
  <w:num w:numId="18">
    <w:abstractNumId w:val="23"/>
  </w:num>
  <w:num w:numId="19">
    <w:abstractNumId w:val="8"/>
  </w:num>
  <w:num w:numId="20">
    <w:abstractNumId w:val="17"/>
  </w:num>
  <w:num w:numId="21">
    <w:abstractNumId w:val="5"/>
  </w:num>
  <w:num w:numId="22">
    <w:abstractNumId w:val="14"/>
  </w:num>
  <w:num w:numId="23">
    <w:abstractNumId w:val="20"/>
  </w:num>
  <w:num w:numId="24">
    <w:abstractNumId w:val="9"/>
  </w:num>
  <w:num w:numId="25">
    <w:abstractNumId w:val="15"/>
  </w:num>
  <w:num w:numId="26">
    <w:abstractNumId w:val="4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4C"/>
    <w:rsid w:val="00125850"/>
    <w:rsid w:val="001762A0"/>
    <w:rsid w:val="001C06E4"/>
    <w:rsid w:val="002052FF"/>
    <w:rsid w:val="00282C8B"/>
    <w:rsid w:val="00295C02"/>
    <w:rsid w:val="002E1F33"/>
    <w:rsid w:val="002F109E"/>
    <w:rsid w:val="003058F9"/>
    <w:rsid w:val="00344B35"/>
    <w:rsid w:val="00357120"/>
    <w:rsid w:val="003748C3"/>
    <w:rsid w:val="003C5E8C"/>
    <w:rsid w:val="003E67EF"/>
    <w:rsid w:val="00435290"/>
    <w:rsid w:val="0043677B"/>
    <w:rsid w:val="00437E31"/>
    <w:rsid w:val="0049728F"/>
    <w:rsid w:val="004B742E"/>
    <w:rsid w:val="004C45B6"/>
    <w:rsid w:val="004F69D1"/>
    <w:rsid w:val="005232EE"/>
    <w:rsid w:val="00533A90"/>
    <w:rsid w:val="005B47C7"/>
    <w:rsid w:val="00631BA7"/>
    <w:rsid w:val="006368A6"/>
    <w:rsid w:val="006C2583"/>
    <w:rsid w:val="006C5B7A"/>
    <w:rsid w:val="006D53CC"/>
    <w:rsid w:val="00714AE0"/>
    <w:rsid w:val="00777167"/>
    <w:rsid w:val="007A1FBB"/>
    <w:rsid w:val="007D6C46"/>
    <w:rsid w:val="008657EB"/>
    <w:rsid w:val="00875269"/>
    <w:rsid w:val="008A0984"/>
    <w:rsid w:val="008B2213"/>
    <w:rsid w:val="008D2C54"/>
    <w:rsid w:val="008D7634"/>
    <w:rsid w:val="00967BB0"/>
    <w:rsid w:val="009E18D8"/>
    <w:rsid w:val="00A26B77"/>
    <w:rsid w:val="00A768BD"/>
    <w:rsid w:val="00AE07A3"/>
    <w:rsid w:val="00AF5BF2"/>
    <w:rsid w:val="00B93ED7"/>
    <w:rsid w:val="00B97622"/>
    <w:rsid w:val="00BA6A4C"/>
    <w:rsid w:val="00C13CAA"/>
    <w:rsid w:val="00C338E1"/>
    <w:rsid w:val="00C72994"/>
    <w:rsid w:val="00C976F9"/>
    <w:rsid w:val="00CE394D"/>
    <w:rsid w:val="00CE6F36"/>
    <w:rsid w:val="00D3319D"/>
    <w:rsid w:val="00D41596"/>
    <w:rsid w:val="00D82191"/>
    <w:rsid w:val="00D93F3C"/>
    <w:rsid w:val="00DE3067"/>
    <w:rsid w:val="00E936A3"/>
    <w:rsid w:val="00EB7752"/>
    <w:rsid w:val="00ED1093"/>
    <w:rsid w:val="00ED3DDF"/>
    <w:rsid w:val="00EF0CAD"/>
    <w:rsid w:val="00F07106"/>
    <w:rsid w:val="00F430B8"/>
    <w:rsid w:val="00F47743"/>
    <w:rsid w:val="00F75FD6"/>
    <w:rsid w:val="00F8029D"/>
    <w:rsid w:val="00F8340D"/>
    <w:rsid w:val="00FB0E3D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D62D8"/>
  <w15:chartTrackingRefBased/>
  <w15:docId w15:val="{5FF40BA3-5DEB-442B-BCC7-F431EA4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4C"/>
    <w:rPr>
      <w:rFonts w:ascii="Luciole" w:eastAsia="Calibri" w:hAnsi="Luciole" w:cs="Calibri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D3DDF"/>
    <w:pPr>
      <w:keepNext/>
      <w:keepLines/>
      <w:numPr>
        <w:numId w:val="25"/>
      </w:numPr>
      <w:spacing w:before="240" w:line="480" w:lineRule="auto"/>
      <w:outlineLvl w:val="0"/>
    </w:pPr>
    <w:rPr>
      <w:rFonts w:eastAsiaTheme="majorEastAsia" w:cstheme="majorBidi"/>
      <w:b/>
      <w:caps/>
      <w:color w:val="000000" w:themeColor="text1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B77"/>
    <w:pPr>
      <w:keepNext/>
      <w:keepLines/>
      <w:numPr>
        <w:ilvl w:val="1"/>
        <w:numId w:val="25"/>
      </w:numPr>
      <w:spacing w:before="280" w:after="240" w:line="48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B77"/>
    <w:pPr>
      <w:keepNext/>
      <w:keepLines/>
      <w:numPr>
        <w:ilvl w:val="2"/>
        <w:numId w:val="25"/>
      </w:numPr>
      <w:spacing w:before="4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F3C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F3C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F3C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F3C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F3C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F3C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C54"/>
  </w:style>
  <w:style w:type="paragraph" w:styleId="Pieddepage">
    <w:name w:val="footer"/>
    <w:basedOn w:val="Normal"/>
    <w:link w:val="Pieddepag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C54"/>
  </w:style>
  <w:style w:type="paragraph" w:styleId="Paragraphedeliste">
    <w:name w:val="List Paragraph"/>
    <w:basedOn w:val="Normal"/>
    <w:uiPriority w:val="34"/>
    <w:qFormat/>
    <w:rsid w:val="008D2C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2C5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D3DDF"/>
    <w:rPr>
      <w:rFonts w:ascii="Luciole" w:eastAsiaTheme="majorEastAsia" w:hAnsi="Luciole" w:cstheme="majorBidi"/>
      <w:caps/>
      <w:color w:val="000000" w:themeColor="text1"/>
      <w:kern w:val="2"/>
      <w:sz w:val="28"/>
      <w:szCs w:val="32"/>
      <w:u w:val="single"/>
      <w:lang w:val="fr-FR"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A26B77"/>
    <w:rPr>
      <w:rFonts w:ascii="Luciole" w:eastAsiaTheme="majorEastAsia" w:hAnsi="Luciole" w:cstheme="majorBidi"/>
      <w:b/>
      <w:sz w:val="24"/>
      <w:szCs w:val="26"/>
      <w:u w:val="single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F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B7A"/>
    <w:rPr>
      <w:color w:val="954F72" w:themeColor="followedHyperlink"/>
      <w:u w:val="single"/>
    </w:rPr>
  </w:style>
  <w:style w:type="paragraph" w:customStyle="1" w:styleId="EnteteTableau">
    <w:name w:val="Entete_Tableau"/>
    <w:basedOn w:val="Normal"/>
    <w:link w:val="EnteteTableauCar"/>
    <w:qFormat/>
    <w:rsid w:val="008B2213"/>
    <w:pPr>
      <w:numPr>
        <w:numId w:val="1"/>
      </w:numPr>
      <w:spacing w:before="240" w:after="360" w:line="240" w:lineRule="auto"/>
      <w:ind w:left="714" w:hanging="357"/>
    </w:pPr>
    <w:rPr>
      <w:b/>
    </w:rPr>
  </w:style>
  <w:style w:type="character" w:customStyle="1" w:styleId="EnteteTableauCar">
    <w:name w:val="Entete_Tableau Car"/>
    <w:basedOn w:val="Policepardfaut"/>
    <w:link w:val="EnteteTableau"/>
    <w:rsid w:val="008B2213"/>
    <w:rPr>
      <w:rFonts w:ascii="Luciole" w:eastAsia="Arial" w:hAnsi="Luciole" w:cs="Arial"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A26B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F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F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93F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9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9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customStyle="1" w:styleId="TitreDocument">
    <w:name w:val="Titre_Document"/>
    <w:basedOn w:val="Normal"/>
    <w:link w:val="TitreDocumentCar"/>
    <w:qFormat/>
    <w:rsid w:val="00D82191"/>
    <w:pPr>
      <w:spacing w:before="480" w:line="480" w:lineRule="auto"/>
      <w:jc w:val="center"/>
    </w:pPr>
    <w:rPr>
      <w:rFonts w:eastAsiaTheme="majorEastAsia" w:cstheme="majorBidi"/>
      <w:b/>
      <w:color w:val="2E74B5" w:themeColor="accent1" w:themeShade="BF"/>
      <w:szCs w:val="32"/>
    </w:rPr>
  </w:style>
  <w:style w:type="character" w:customStyle="1" w:styleId="TitreDocumentCar">
    <w:name w:val="Titre_Document Car"/>
    <w:basedOn w:val="Titre1Car"/>
    <w:link w:val="TitreDocument"/>
    <w:rsid w:val="00D82191"/>
    <w:rPr>
      <w:rFonts w:ascii="Luciole" w:eastAsiaTheme="majorEastAsia" w:hAnsi="Luciole" w:cstheme="majorBidi"/>
      <w:b w:val="0"/>
      <w:caps/>
      <w:color w:val="2E74B5" w:themeColor="accent1" w:themeShade="BF"/>
      <w:kern w:val="2"/>
      <w:sz w:val="24"/>
      <w:szCs w:val="32"/>
      <w:u w:val="single"/>
      <w:lang w:val="fr-FR" w:eastAsia="fr-FR"/>
      <w14:ligatures w14:val="standardContextual"/>
    </w:rPr>
  </w:style>
  <w:style w:type="paragraph" w:customStyle="1" w:styleId="CelluleTableau">
    <w:name w:val="Cellule_Tableau"/>
    <w:basedOn w:val="Normal"/>
    <w:link w:val="CelluleTableauCar"/>
    <w:qFormat/>
    <w:rsid w:val="00BA6A4C"/>
    <w:pPr>
      <w:spacing w:after="0"/>
      <w:ind w:left="708" w:right="709"/>
    </w:pPr>
    <w:rPr>
      <w:rFonts w:eastAsia="Times New Roman" w:cs="Times New Roman"/>
    </w:rPr>
  </w:style>
  <w:style w:type="character" w:customStyle="1" w:styleId="CelluleTableauCar">
    <w:name w:val="Cellule_Tableau Car"/>
    <w:basedOn w:val="Policepardfaut"/>
    <w:link w:val="CelluleTableau"/>
    <w:rsid w:val="00BA6A4C"/>
    <w:rPr>
      <w:rFonts w:ascii="Luciole" w:eastAsia="Times New Roman" w:hAnsi="Luciole" w:cs="Times New Roman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Sansinterligne">
    <w:name w:val="No Spacing"/>
    <w:uiPriority w:val="1"/>
    <w:qFormat/>
    <w:rsid w:val="00F07106"/>
    <w:pPr>
      <w:spacing w:after="0" w:line="240" w:lineRule="auto"/>
      <w:ind w:left="197" w:firstLine="766"/>
    </w:pPr>
    <w:rPr>
      <w:rFonts w:ascii="Arial" w:eastAsia="Arial" w:hAnsi="Arial" w:cs="Arial"/>
      <w:b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o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ceo.eu/contac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0%20-%200%20-%20Asso%20DysAccess\e-handi%20tour%202024\Bonnes%20pratiques%20France\Mod&#232;le_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2468-CD8D-4957-A47F-2321A0F1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Modèle_Rapport.dotx</Template>
  <TotalTime>13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Grégory Louppe</cp:lastModifiedBy>
  <cp:revision>6</cp:revision>
  <cp:lastPrinted>2024-12-23T11:09:00Z</cp:lastPrinted>
  <dcterms:created xsi:type="dcterms:W3CDTF">2024-12-27T18:06:00Z</dcterms:created>
  <dcterms:modified xsi:type="dcterms:W3CDTF">2024-12-30T19:20:00Z</dcterms:modified>
</cp:coreProperties>
</file>