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4D98" w14:textId="77777777" w:rsidR="00AD22B7" w:rsidRDefault="00AD22B7" w:rsidP="001D2030">
      <w:pPr>
        <w:pStyle w:val="TitreDocument"/>
        <w:spacing w:before="0" w:after="0" w:line="240" w:lineRule="auto"/>
        <w:rPr>
          <w:szCs w:val="24"/>
        </w:rPr>
      </w:pPr>
      <w:r w:rsidRPr="001D2030">
        <w:rPr>
          <w:szCs w:val="24"/>
        </w:rPr>
        <w:t>E-HANDI TOUR GUIDE DE L’INCLUSION INNOVANTE DES PSDH</w:t>
      </w:r>
    </w:p>
    <w:p w14:paraId="637969B8" w14:textId="77777777" w:rsidR="001D2030" w:rsidRPr="001D2030" w:rsidRDefault="001D2030" w:rsidP="001D2030">
      <w:pPr>
        <w:pStyle w:val="TitreDocument"/>
        <w:spacing w:before="0" w:after="0" w:line="240" w:lineRule="auto"/>
        <w:rPr>
          <w:szCs w:val="24"/>
        </w:rPr>
      </w:pPr>
    </w:p>
    <w:p w14:paraId="1E3CB316" w14:textId="77777777" w:rsidR="00AD22B7" w:rsidRDefault="00AD22B7" w:rsidP="001D2030">
      <w:pPr>
        <w:pStyle w:val="TitreDocument"/>
        <w:spacing w:before="0" w:after="0" w:line="240" w:lineRule="auto"/>
        <w:rPr>
          <w:szCs w:val="24"/>
        </w:rPr>
      </w:pPr>
      <w:r w:rsidRPr="001D2030">
        <w:rPr>
          <w:szCs w:val="24"/>
        </w:rPr>
        <w:t>Le CDD Tremplin</w:t>
      </w:r>
    </w:p>
    <w:p w14:paraId="43D9985A" w14:textId="77777777" w:rsidR="001D2030" w:rsidRDefault="001D2030" w:rsidP="001D2030">
      <w:pPr>
        <w:pStyle w:val="TitreDocument"/>
        <w:spacing w:before="0" w:after="0" w:line="240" w:lineRule="auto"/>
        <w:rPr>
          <w:szCs w:val="24"/>
        </w:rPr>
      </w:pPr>
    </w:p>
    <w:p w14:paraId="0DB68CBD" w14:textId="77777777" w:rsidR="001D2030" w:rsidRPr="001D2030" w:rsidRDefault="001D2030" w:rsidP="001D2030">
      <w:pPr>
        <w:pStyle w:val="TitreDocument"/>
        <w:spacing w:before="0" w:after="0" w:line="240" w:lineRule="auto"/>
        <w:rPr>
          <w:szCs w:val="24"/>
        </w:rPr>
      </w:pPr>
    </w:p>
    <w:p w14:paraId="6D35BD21" w14:textId="1C153078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Promoteur de l'initiative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2F41F28C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</w:p>
    <w:p w14:paraId="41A5999E" w14:textId="73F1328C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  <w:r w:rsidRPr="001D2030">
        <w:rPr>
          <w:rFonts w:ascii="Luciole" w:eastAsiaTheme="minorEastAsia" w:hAnsi="Luciole"/>
        </w:rPr>
        <w:t>Ministère du Travail, de l'Emploi et de l'Insertion</w:t>
      </w:r>
      <w:r w:rsidR="00763C07" w:rsidRPr="001D2030">
        <w:rPr>
          <w:rFonts w:ascii="Luciole" w:eastAsiaTheme="minorEastAsia" w:hAnsi="Luciole"/>
        </w:rPr>
        <w:t>.</w:t>
      </w:r>
    </w:p>
    <w:p w14:paraId="1002AE11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09031B58" w14:textId="6A07C7BA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Pays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51DC8769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</w:p>
    <w:p w14:paraId="573CA362" w14:textId="77777777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  <w:r w:rsidRPr="001D2030">
        <w:rPr>
          <w:rFonts w:ascii="Luciole" w:eastAsiaTheme="minorEastAsia" w:hAnsi="Luciole"/>
        </w:rPr>
        <w:t>France</w:t>
      </w:r>
    </w:p>
    <w:p w14:paraId="14439AB1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4C54CB14" w14:textId="7ED67A1C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Site internet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00924016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</w:p>
    <w:p w14:paraId="4AD0CF12" w14:textId="1502AF90" w:rsidR="00AD22B7" w:rsidRPr="001D2030" w:rsidRDefault="001D2030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  <w:r>
        <w:rPr>
          <w:rFonts w:ascii="Luciole" w:eastAsiaTheme="minorEastAsia" w:hAnsi="Luciole"/>
        </w:rPr>
        <w:t xml:space="preserve">Ministère du Travail </w:t>
      </w:r>
      <w:hyperlink r:id="rId8" w:history="1">
        <w:r w:rsidR="00AD22B7" w:rsidRPr="001D2030">
          <w:rPr>
            <w:rStyle w:val="Lienhypertexte"/>
            <w:rFonts w:ascii="Luciole" w:eastAsiaTheme="minorEastAsia" w:hAnsi="Luciole"/>
          </w:rPr>
          <w:t>https://travail-emploi.gouv.fr</w:t>
        </w:r>
      </w:hyperlink>
    </w:p>
    <w:p w14:paraId="05B13FEC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47A4C2AD" w14:textId="724C87E6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Contact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7BEDEF7D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eastAsiaTheme="minorEastAsia" w:hAnsi="Luciole"/>
        </w:rPr>
      </w:pPr>
    </w:p>
    <w:p w14:paraId="7AAB62A3" w14:textId="68D6A08F" w:rsidR="00763C0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eastAsiaTheme="minorEastAsia" w:hAnsi="Luciole"/>
        </w:rPr>
        <w:t xml:space="preserve">Service de l'emploi, Ministère du Travail, </w:t>
      </w:r>
      <w:r w:rsidR="00763C07" w:rsidRPr="001D2030">
        <w:rPr>
          <w:rFonts w:ascii="Luciole" w:eastAsiaTheme="minorEastAsia" w:hAnsi="Luciole"/>
        </w:rPr>
        <w:t>France</w:t>
      </w:r>
    </w:p>
    <w:p w14:paraId="0CDA72E2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375EEEA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323708F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9F2A039" w14:textId="1BF3F5BD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  <w:b/>
        </w:rPr>
      </w:pPr>
      <w:r w:rsidRPr="001D2030">
        <w:rPr>
          <w:rFonts w:ascii="Luciole" w:hAnsi="Luciole"/>
          <w:b/>
        </w:rPr>
        <w:t>DETAIL DE L’INITIATIVE :</w:t>
      </w:r>
    </w:p>
    <w:p w14:paraId="2315DA0B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185A8A5A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3F199820" w14:textId="0B14B0F2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Année(s) de mise en œuvre</w:t>
      </w:r>
      <w:r w:rsidR="00153D0A" w:rsidRPr="001D2030">
        <w:rPr>
          <w:rFonts w:ascii="Calibri" w:hAnsi="Calibri"/>
        </w:rPr>
        <w:t> </w:t>
      </w:r>
      <w:r w:rsidR="00153D0A" w:rsidRPr="001D2030">
        <w:t>:</w:t>
      </w:r>
    </w:p>
    <w:p w14:paraId="647A5491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3EDDDB0" w14:textId="455D01DB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Initiative pérennisée depuis le 26 avril 2023</w:t>
      </w:r>
      <w:r w:rsidR="00763C07" w:rsidRPr="001D2030">
        <w:rPr>
          <w:rFonts w:ascii="Luciole" w:hAnsi="Luciole"/>
        </w:rPr>
        <w:t>.</w:t>
      </w:r>
    </w:p>
    <w:p w14:paraId="015C19F8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FEF38AB" w14:textId="440B2F85" w:rsidR="001D2030" w:rsidRDefault="001D2030">
      <w:pPr>
        <w:rPr>
          <w:rFonts w:eastAsia="Times New Roman" w:cs="Times New Roman"/>
        </w:rPr>
      </w:pPr>
      <w:r>
        <w:br w:type="page"/>
      </w:r>
    </w:p>
    <w:p w14:paraId="675E8F83" w14:textId="77777777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lastRenderedPageBreak/>
        <w:t>Groupe(s) cible(s) :</w:t>
      </w:r>
    </w:p>
    <w:p w14:paraId="10913CF4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1B487FB" w14:textId="224FFE71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Personnes en situation de handicap reconnues par la CDAPH, passant un contrat avec une entreprise adaptée</w:t>
      </w:r>
      <w:r w:rsidR="00763C07" w:rsidRPr="001D2030">
        <w:rPr>
          <w:rFonts w:ascii="Luciole" w:hAnsi="Luciole"/>
        </w:rPr>
        <w:t>.</w:t>
      </w:r>
    </w:p>
    <w:p w14:paraId="375DBE08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1E0FE1A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5D17788" w14:textId="7A06EA87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Description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2EDC046E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FE383F4" w14:textId="645F941D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Le CDD Tremplin est un contrat de travail à durée déterminée conçu pour faciliter l'intégration des personnes handicapées dans le marché du travail ordinaire par le biais d'un accompagnement personnalisé et d'une formation professionnelle adaptée ; Durée du contrat : de 4 à 24 mois ; Heures de travail par semaine : Minimum 20 heures</w:t>
      </w:r>
      <w:r w:rsidR="00763C07" w:rsidRPr="001D2030">
        <w:rPr>
          <w:rFonts w:ascii="Luciole" w:hAnsi="Luciole"/>
        </w:rPr>
        <w:t>.</w:t>
      </w:r>
    </w:p>
    <w:p w14:paraId="7660385F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1C20343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A1438F6" w14:textId="129A3233" w:rsidR="00763C07" w:rsidRPr="001D2030" w:rsidRDefault="00763C0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Méthodologie</w:t>
      </w:r>
      <w:r w:rsidRPr="001D2030">
        <w:rPr>
          <w:rFonts w:ascii="Calibri" w:hAnsi="Calibri"/>
        </w:rPr>
        <w:t> </w:t>
      </w:r>
      <w:r w:rsidRPr="001D2030">
        <w:t>:</w:t>
      </w:r>
    </w:p>
    <w:p w14:paraId="4F003A60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6155925" w14:textId="01FCD37D" w:rsidR="00AD22B7" w:rsidRPr="001D2030" w:rsidRDefault="00AD22B7" w:rsidP="001D2030">
      <w:pPr>
        <w:pStyle w:val="CelluleTableau"/>
        <w:numPr>
          <w:ilvl w:val="0"/>
          <w:numId w:val="31"/>
        </w:numPr>
        <w:spacing w:line="240" w:lineRule="auto"/>
        <w:ind w:right="0"/>
        <w:rPr>
          <w:rFonts w:ascii="Luciole" w:hAnsi="Luciole"/>
        </w:rPr>
      </w:pPr>
      <w:r w:rsidRPr="001D2030">
        <w:rPr>
          <w:rFonts w:ascii="Luciole" w:hAnsi="Luciole"/>
        </w:rPr>
        <w:t>Évaluation initiale des compétences et besoins de la personne handicapée pour personnaliser le parcours.</w:t>
      </w:r>
    </w:p>
    <w:p w14:paraId="09D981D3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ED4301B" w14:textId="45364BA1" w:rsidR="00AD22B7" w:rsidRPr="001D2030" w:rsidRDefault="00AD22B7" w:rsidP="001D2030">
      <w:pPr>
        <w:pStyle w:val="CelluleTableau"/>
        <w:numPr>
          <w:ilvl w:val="0"/>
          <w:numId w:val="31"/>
        </w:numPr>
        <w:spacing w:line="240" w:lineRule="auto"/>
        <w:ind w:right="0"/>
        <w:rPr>
          <w:rFonts w:ascii="Luciole" w:hAnsi="Luciole"/>
        </w:rPr>
      </w:pPr>
      <w:r w:rsidRPr="001D2030">
        <w:rPr>
          <w:rFonts w:ascii="Luciole" w:hAnsi="Luciole"/>
        </w:rPr>
        <w:t>Formation continue visant à développer des compétences professionnelles et transversales.</w:t>
      </w:r>
      <w:r w:rsidR="00763C07" w:rsidRPr="001D2030">
        <w:rPr>
          <w:rFonts w:ascii="Luciole" w:hAnsi="Luciole"/>
        </w:rPr>
        <w:t xml:space="preserve">  </w:t>
      </w:r>
    </w:p>
    <w:p w14:paraId="0B47B9C1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  <w:color w:val="auto"/>
        </w:rPr>
      </w:pPr>
    </w:p>
    <w:p w14:paraId="34BABC02" w14:textId="44313E2F" w:rsidR="00763C07" w:rsidRPr="001D2030" w:rsidRDefault="00AD22B7" w:rsidP="001D2030">
      <w:pPr>
        <w:pStyle w:val="CelluleTableau"/>
        <w:numPr>
          <w:ilvl w:val="0"/>
          <w:numId w:val="31"/>
        </w:numPr>
        <w:spacing w:line="240" w:lineRule="auto"/>
        <w:ind w:right="0"/>
        <w:rPr>
          <w:rFonts w:ascii="Luciole" w:hAnsi="Luciole"/>
        </w:rPr>
      </w:pPr>
      <w:r w:rsidRPr="001D2030">
        <w:rPr>
          <w:rFonts w:ascii="Luciole" w:hAnsi="Luciole"/>
        </w:rPr>
        <w:t>Accompagnement personnalisé pour préparer la transition vers un emploi durable en dehors de l'entreprise adaptée.</w:t>
      </w:r>
    </w:p>
    <w:p w14:paraId="0DBF9887" w14:textId="02AA58EC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7318948" w14:textId="77777777" w:rsidR="00763C07" w:rsidRPr="001D2030" w:rsidRDefault="00763C07" w:rsidP="001D2030">
      <w:pPr>
        <w:pStyle w:val="Paragraphedeliste"/>
        <w:spacing w:after="0" w:line="240" w:lineRule="auto"/>
        <w:ind w:left="0"/>
      </w:pPr>
    </w:p>
    <w:p w14:paraId="426C8312" w14:textId="5C6001C1" w:rsidR="00763C07" w:rsidRPr="001D2030" w:rsidRDefault="00763C0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Contact</w:t>
      </w:r>
      <w:r w:rsidRPr="001D2030">
        <w:rPr>
          <w:rFonts w:ascii="Calibri" w:hAnsi="Calibri"/>
        </w:rPr>
        <w:t> </w:t>
      </w:r>
      <w:r w:rsidRPr="001D2030">
        <w:t>:</w:t>
      </w:r>
    </w:p>
    <w:p w14:paraId="31DDFB75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  <w:rPr>
          <w:rStyle w:val="Lienhypertexte"/>
        </w:rPr>
      </w:pPr>
    </w:p>
    <w:p w14:paraId="65915CD7" w14:textId="55C2EBD4" w:rsidR="00763C07" w:rsidRPr="001D2030" w:rsidRDefault="001D2030" w:rsidP="001D2030">
      <w:pPr>
        <w:pStyle w:val="EnteteTableau"/>
        <w:numPr>
          <w:ilvl w:val="0"/>
          <w:numId w:val="0"/>
        </w:numPr>
        <w:spacing w:before="0" w:after="0"/>
      </w:pPr>
      <w:hyperlink r:id="rId9" w:history="1">
        <w:r w:rsidRPr="004C3E89">
          <w:rPr>
            <w:rStyle w:val="Lienhypertexte"/>
          </w:rPr>
          <w:t>Coordonnees@travail.gouv.fr</w:t>
        </w:r>
      </w:hyperlink>
    </w:p>
    <w:p w14:paraId="57ED2360" w14:textId="60B8CC59" w:rsidR="00763C07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C04905F" w14:textId="77777777" w:rsidR="001D2030" w:rsidRP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E16C07E" w14:textId="53CD4263" w:rsidR="00763C07" w:rsidRPr="001D2030" w:rsidRDefault="001D2030" w:rsidP="001D203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>
        <w:rPr>
          <w:szCs w:val="24"/>
        </w:rPr>
        <w:lastRenderedPageBreak/>
        <w:t>P</w:t>
      </w:r>
      <w:r w:rsidR="00763C07" w:rsidRPr="001D2030">
        <w:rPr>
          <w:szCs w:val="24"/>
        </w:rPr>
        <w:t>RODUITS / RÉSULTATS :</w:t>
      </w:r>
      <w:r w:rsidR="00763C07" w:rsidRPr="001D2030">
        <w:rPr>
          <w:szCs w:val="24"/>
        </w:rPr>
        <w:tab/>
      </w:r>
    </w:p>
    <w:p w14:paraId="0478BFB0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275E6FBF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29E37D43" w14:textId="344F4883" w:rsidR="00763C07" w:rsidRPr="001D2030" w:rsidRDefault="00763C0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Type de produit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6CF1BDB0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74944DD" w14:textId="17ED2328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Programme de formation, support d'accompagnement professionnel</w:t>
      </w:r>
      <w:r w:rsidR="0018162D" w:rsidRPr="001D2030">
        <w:rPr>
          <w:rFonts w:ascii="Luciole" w:hAnsi="Luciole"/>
        </w:rPr>
        <w:t>.</w:t>
      </w:r>
    </w:p>
    <w:p w14:paraId="609D91BE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F6A760A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0E39DBC" w14:textId="4641726B" w:rsidR="00763C07" w:rsidRPr="001D2030" w:rsidRDefault="00763C0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Brève description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1106F7D6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7273220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Le programme a produit des parcours de formation adaptés et des guides d'accompagnement pour faciliter la transition des travailleurs handicapés vers le marché du travail général, contribuant directement à leur inclusion professionnelle.</w:t>
      </w:r>
    </w:p>
    <w:p w14:paraId="019030BC" w14:textId="302694CF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77D9CAE" w14:textId="6A6CC165" w:rsidR="00763C07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ab/>
      </w:r>
    </w:p>
    <w:p w14:paraId="16550CAA" w14:textId="77777777" w:rsidR="00AD22B7" w:rsidRPr="001D2030" w:rsidRDefault="00AD22B7" w:rsidP="001D203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D2030">
        <w:rPr>
          <w:szCs w:val="24"/>
        </w:rPr>
        <w:t>DOMAINE :</w:t>
      </w:r>
    </w:p>
    <w:p w14:paraId="69442A76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771DEAD9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68F13838" w14:textId="4E357B89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Facilitation de l'accès à l'emploi</w:t>
      </w:r>
      <w:r w:rsidR="00763C07" w:rsidRPr="001D2030">
        <w:rPr>
          <w:rFonts w:ascii="Calibri" w:hAnsi="Calibri"/>
        </w:rPr>
        <w:t> </w:t>
      </w:r>
      <w:r w:rsidR="00763C07" w:rsidRPr="001D2030">
        <w:t>:</w:t>
      </w:r>
    </w:p>
    <w:p w14:paraId="51C77BF2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9069A28" w14:textId="77777777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Le CDD Tremplin s'inscrit dans les dispositifs visant à améliorer directement l'accès aux opportunités d'emploi pour les personnes en situation de handicap, en préparant et en accompagnant ces dernières vers une intégration réussie dans le marché du travail ordinaire.</w:t>
      </w:r>
    </w:p>
    <w:p w14:paraId="74D11DF1" w14:textId="77777777" w:rsidR="00763C07" w:rsidRPr="001D2030" w:rsidRDefault="00763C0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E9F6040" w14:textId="77777777" w:rsidR="00AD22B7" w:rsidRPr="001D2030" w:rsidRDefault="00AD22B7" w:rsidP="001D2030">
      <w:pPr>
        <w:spacing w:after="0" w:line="240" w:lineRule="auto"/>
        <w:rPr>
          <w:color w:val="auto"/>
        </w:rPr>
      </w:pPr>
    </w:p>
    <w:p w14:paraId="033C5E48" w14:textId="77777777" w:rsidR="00AD22B7" w:rsidRPr="001D2030" w:rsidRDefault="00AD22B7" w:rsidP="001D203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D2030">
        <w:rPr>
          <w:szCs w:val="24"/>
        </w:rPr>
        <w:t>PRODUITS / RÉSULTATS :</w:t>
      </w:r>
      <w:r w:rsidRPr="001D2030">
        <w:rPr>
          <w:szCs w:val="24"/>
          <w:u w:val="none"/>
        </w:rPr>
        <w:tab/>
      </w:r>
    </w:p>
    <w:p w14:paraId="6CEAC927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0633DFFF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1B8F813E" w14:textId="3AE21565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Type de produit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0F24F2CF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DF99A44" w14:textId="0E5B9A16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Programme de formation, support d'accompagnement professionnel</w:t>
      </w:r>
      <w:r w:rsidR="0018162D" w:rsidRPr="001D2030">
        <w:rPr>
          <w:rFonts w:ascii="Luciole" w:hAnsi="Luciole"/>
        </w:rPr>
        <w:t>.</w:t>
      </w:r>
    </w:p>
    <w:p w14:paraId="6B330206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EE19DB0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C227C70" w14:textId="399DCFA0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Brève description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1783B962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B9FFFB1" w14:textId="620CA41C" w:rsidR="00AD22B7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Le programme a produit des parcours de formation adaptés et des guides d'accompagnement pour faciliter la transition des travailleurs handicapés vers le marché du travail général, contribuant directement à leur inclusion professionnelle.</w:t>
      </w:r>
    </w:p>
    <w:p w14:paraId="40B35494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AC07E6B" w14:textId="77777777" w:rsidR="001D2030" w:rsidRP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42103BE" w14:textId="1FFDB3A0" w:rsidR="00AD22B7" w:rsidRPr="001D2030" w:rsidRDefault="00AD22B7" w:rsidP="001D2030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1D2030">
        <w:rPr>
          <w:szCs w:val="24"/>
        </w:rPr>
        <w:t>IMPACT ET TRANSFÉRABILITÉ</w:t>
      </w:r>
      <w:r w:rsidR="0018162D" w:rsidRPr="001D2030">
        <w:rPr>
          <w:rFonts w:ascii="Calibri" w:hAnsi="Calibri" w:cs="Calibri"/>
          <w:szCs w:val="24"/>
        </w:rPr>
        <w:t> </w:t>
      </w:r>
      <w:r w:rsidR="0018162D" w:rsidRPr="001D2030">
        <w:rPr>
          <w:szCs w:val="24"/>
        </w:rPr>
        <w:t>:</w:t>
      </w:r>
    </w:p>
    <w:p w14:paraId="05BEA1BF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7D4FCBD0" w14:textId="77777777" w:rsidR="001D2030" w:rsidRDefault="001D2030" w:rsidP="001D2030">
      <w:pPr>
        <w:pStyle w:val="EnteteTableau"/>
        <w:numPr>
          <w:ilvl w:val="0"/>
          <w:numId w:val="0"/>
        </w:numPr>
        <w:spacing w:before="0" w:after="0"/>
      </w:pPr>
    </w:p>
    <w:p w14:paraId="71994CB6" w14:textId="66908F29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Impact sur les groupes cibles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794AE9F0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120E744" w14:textId="77777777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1D2030">
        <w:rPr>
          <w:rFonts w:ascii="Luciole" w:hAnsi="Luciole"/>
        </w:rPr>
        <w:t>Augmentation significative des taux d'emploi parmi les participants au CDD Tremplin, amélioration de la confiance en soi des bénéficiaires et accroissement de leurs compétences professionnelles.</w:t>
      </w:r>
    </w:p>
    <w:p w14:paraId="52D1025E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754AE42" w14:textId="77777777" w:rsidR="0018162D" w:rsidRPr="001D2030" w:rsidRDefault="0018162D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D896C45" w14:textId="1B3E614A" w:rsidR="00AD22B7" w:rsidRPr="001D2030" w:rsidRDefault="00AD22B7" w:rsidP="001D2030">
      <w:pPr>
        <w:pStyle w:val="EnteteTableau"/>
        <w:numPr>
          <w:ilvl w:val="0"/>
          <w:numId w:val="0"/>
        </w:numPr>
        <w:spacing w:before="0" w:after="0"/>
      </w:pPr>
      <w:r w:rsidRPr="001D2030">
        <w:t>Brève description</w:t>
      </w:r>
      <w:r w:rsidR="0018162D" w:rsidRPr="001D2030">
        <w:rPr>
          <w:rFonts w:ascii="Calibri" w:hAnsi="Calibri"/>
        </w:rPr>
        <w:t> </w:t>
      </w:r>
      <w:r w:rsidR="0018162D" w:rsidRPr="001D2030">
        <w:t>:</w:t>
      </w:r>
    </w:p>
    <w:p w14:paraId="49FD944C" w14:textId="77777777" w:rsidR="001D2030" w:rsidRDefault="001D2030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654ED01" w14:textId="2C0B7E4A" w:rsidR="00AD22B7" w:rsidRPr="001D2030" w:rsidRDefault="00AD22B7" w:rsidP="001D2030">
      <w:pPr>
        <w:pStyle w:val="CelluleTableau"/>
        <w:spacing w:line="240" w:lineRule="auto"/>
        <w:ind w:left="0" w:right="0"/>
        <w:rPr>
          <w:rFonts w:ascii="Luciole" w:hAnsi="Luciole"/>
        </w:rPr>
      </w:pPr>
      <w:bookmarkStart w:id="0" w:name="_GoBack"/>
      <w:bookmarkEnd w:id="0"/>
      <w:r w:rsidRPr="001D2030">
        <w:rPr>
          <w:rFonts w:ascii="Luciole" w:hAnsi="Luciole"/>
        </w:rPr>
        <w:t>Cette initiative peut être adaptée à différents contextes régionaux ou à divers secteurs d'activité, permettant une réplication dans d'autres régions ou pays souhaitant améliorer l'employabilité des personnes handicapées.</w:t>
      </w:r>
    </w:p>
    <w:sectPr w:rsidR="00AD22B7" w:rsidRPr="001D2030" w:rsidSect="001C06E4">
      <w:headerReference w:type="default" r:id="rId10"/>
      <w:footerReference w:type="default" r:id="rId11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C846B" w14:textId="77777777" w:rsidR="00734041" w:rsidRDefault="00734041" w:rsidP="008D2C54">
      <w:r>
        <w:separator/>
      </w:r>
    </w:p>
  </w:endnote>
  <w:endnote w:type="continuationSeparator" w:id="0">
    <w:p w14:paraId="54BA3D5D" w14:textId="77777777" w:rsidR="00734041" w:rsidRDefault="00734041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53F74ABC-CBC0-4009-9A82-F0A9867C2329}"/>
    <w:embedBold r:id="rId2" w:fontKey="{1800CDB7-563F-47F6-9EA2-F2B96DACC9AC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FCA8C1AE-4BE7-4C10-BDC2-F4524BEFCB3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0B400145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30">
          <w:rPr>
            <w:noProof/>
          </w:rPr>
          <w:t>4</w:t>
        </w:r>
        <w:r>
          <w:fldChar w:fldCharType="end"/>
        </w:r>
      </w:p>
    </w:sdtContent>
  </w:sdt>
  <w:p w14:paraId="317D5D21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AA12" w14:textId="77777777" w:rsidR="00734041" w:rsidRDefault="00734041" w:rsidP="008D2C54">
      <w:r>
        <w:separator/>
      </w:r>
    </w:p>
  </w:footnote>
  <w:footnote w:type="continuationSeparator" w:id="0">
    <w:p w14:paraId="22BDB3F6" w14:textId="77777777" w:rsidR="00734041" w:rsidRDefault="00734041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17AE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57A64D21" wp14:editId="21E9D3E4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227290B2" wp14:editId="2025BF5A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B1C11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5168F"/>
    <w:multiLevelType w:val="hybridMultilevel"/>
    <w:tmpl w:val="27540F68"/>
    <w:lvl w:ilvl="0" w:tplc="C2B2C8A0">
      <w:numFmt w:val="bullet"/>
      <w:lvlText w:val="-"/>
      <w:lvlJc w:val="left"/>
      <w:pPr>
        <w:ind w:left="1068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9DF28D0"/>
    <w:multiLevelType w:val="hybridMultilevel"/>
    <w:tmpl w:val="C38A0D5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CB78D9"/>
    <w:multiLevelType w:val="hybridMultilevel"/>
    <w:tmpl w:val="D8BE8F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C0760"/>
    <w:multiLevelType w:val="hybridMultilevel"/>
    <w:tmpl w:val="5F42C6B6"/>
    <w:lvl w:ilvl="0" w:tplc="DE68F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8918A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67F62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4370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0C1C4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69B4A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EDE82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8E51E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E42BA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8"/>
  </w:num>
  <w:num w:numId="5">
    <w:abstractNumId w:val="2"/>
  </w:num>
  <w:num w:numId="6">
    <w:abstractNumId w:val="3"/>
  </w:num>
  <w:num w:numId="7">
    <w:abstractNumId w:val="23"/>
  </w:num>
  <w:num w:numId="8">
    <w:abstractNumId w:val="29"/>
  </w:num>
  <w:num w:numId="9">
    <w:abstractNumId w:val="6"/>
  </w:num>
  <w:num w:numId="10">
    <w:abstractNumId w:val="20"/>
  </w:num>
  <w:num w:numId="11">
    <w:abstractNumId w:val="22"/>
  </w:num>
  <w:num w:numId="12">
    <w:abstractNumId w:val="7"/>
  </w:num>
  <w:num w:numId="13">
    <w:abstractNumId w:val="1"/>
  </w:num>
  <w:num w:numId="14">
    <w:abstractNumId w:val="30"/>
  </w:num>
  <w:num w:numId="15">
    <w:abstractNumId w:val="10"/>
  </w:num>
  <w:num w:numId="16">
    <w:abstractNumId w:val="0"/>
  </w:num>
  <w:num w:numId="17">
    <w:abstractNumId w:val="17"/>
  </w:num>
  <w:num w:numId="18">
    <w:abstractNumId w:val="26"/>
  </w:num>
  <w:num w:numId="19">
    <w:abstractNumId w:val="8"/>
  </w:num>
  <w:num w:numId="20">
    <w:abstractNumId w:val="18"/>
  </w:num>
  <w:num w:numId="21">
    <w:abstractNumId w:val="5"/>
  </w:num>
  <w:num w:numId="22">
    <w:abstractNumId w:val="14"/>
  </w:num>
  <w:num w:numId="23">
    <w:abstractNumId w:val="21"/>
  </w:num>
  <w:num w:numId="24">
    <w:abstractNumId w:val="9"/>
  </w:num>
  <w:num w:numId="25">
    <w:abstractNumId w:val="16"/>
  </w:num>
  <w:num w:numId="26">
    <w:abstractNumId w:val="4"/>
  </w:num>
  <w:num w:numId="27">
    <w:abstractNumId w:val="13"/>
  </w:num>
  <w:num w:numId="28">
    <w:abstractNumId w:val="25"/>
  </w:num>
  <w:num w:numId="29">
    <w:abstractNumId w:val="1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B7"/>
    <w:rsid w:val="00125850"/>
    <w:rsid w:val="00153D0A"/>
    <w:rsid w:val="0018162D"/>
    <w:rsid w:val="001C06E4"/>
    <w:rsid w:val="001D2030"/>
    <w:rsid w:val="002052FF"/>
    <w:rsid w:val="00295C02"/>
    <w:rsid w:val="002E1F33"/>
    <w:rsid w:val="002F109E"/>
    <w:rsid w:val="003058F9"/>
    <w:rsid w:val="00344B35"/>
    <w:rsid w:val="00357120"/>
    <w:rsid w:val="003748C3"/>
    <w:rsid w:val="003C5E8C"/>
    <w:rsid w:val="003E67EF"/>
    <w:rsid w:val="00435290"/>
    <w:rsid w:val="0043677B"/>
    <w:rsid w:val="004465A9"/>
    <w:rsid w:val="0049728F"/>
    <w:rsid w:val="004B742E"/>
    <w:rsid w:val="004C45B6"/>
    <w:rsid w:val="004F69D1"/>
    <w:rsid w:val="005232EE"/>
    <w:rsid w:val="00533A90"/>
    <w:rsid w:val="0054525A"/>
    <w:rsid w:val="005B47C7"/>
    <w:rsid w:val="006C2583"/>
    <w:rsid w:val="006C5B7A"/>
    <w:rsid w:val="006D53CC"/>
    <w:rsid w:val="00714AE0"/>
    <w:rsid w:val="00734041"/>
    <w:rsid w:val="00763C07"/>
    <w:rsid w:val="00777167"/>
    <w:rsid w:val="007A1FBB"/>
    <w:rsid w:val="007D6C46"/>
    <w:rsid w:val="008657EB"/>
    <w:rsid w:val="00875269"/>
    <w:rsid w:val="008B2213"/>
    <w:rsid w:val="008D2C54"/>
    <w:rsid w:val="008D7634"/>
    <w:rsid w:val="00967BB0"/>
    <w:rsid w:val="009E18D8"/>
    <w:rsid w:val="00A26B77"/>
    <w:rsid w:val="00A768BD"/>
    <w:rsid w:val="00AD22B7"/>
    <w:rsid w:val="00AE07A3"/>
    <w:rsid w:val="00AF5BF2"/>
    <w:rsid w:val="00B93ED7"/>
    <w:rsid w:val="00B97622"/>
    <w:rsid w:val="00C13CAA"/>
    <w:rsid w:val="00C72994"/>
    <w:rsid w:val="00C976F9"/>
    <w:rsid w:val="00CE6F36"/>
    <w:rsid w:val="00D3319D"/>
    <w:rsid w:val="00D41596"/>
    <w:rsid w:val="00D742FA"/>
    <w:rsid w:val="00D82191"/>
    <w:rsid w:val="00D93F3C"/>
    <w:rsid w:val="00E45ACE"/>
    <w:rsid w:val="00E936A3"/>
    <w:rsid w:val="00EB7752"/>
    <w:rsid w:val="00ED1093"/>
    <w:rsid w:val="00ED3DDF"/>
    <w:rsid w:val="00EF243F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64F1"/>
  <w15:chartTrackingRefBased/>
  <w15:docId w15:val="{C05BA6F4-719C-4BEA-9C43-5CF01D7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B7"/>
    <w:rPr>
      <w:rFonts w:ascii="Luciole" w:eastAsia="Calibri" w:hAnsi="Luciole" w:cs="Calibri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D3319D"/>
    <w:pPr>
      <w:spacing w:after="0"/>
      <w:ind w:left="708" w:right="709"/>
    </w:pPr>
    <w:rPr>
      <w:rFonts w:ascii="Times New Roman" w:eastAsia="Times New Roman" w:hAnsi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D3319D"/>
    <w:rPr>
      <w:rFonts w:ascii="Times New Roman" w:eastAsia="Times New Roman" w:hAnsi="Times New Roman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onnees@travail.gouv.f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4564-A876-43F9-A90E-994700D3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28</TotalTime>
  <Pages>4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4</cp:revision>
  <cp:lastPrinted>2024-12-23T11:09:00Z</cp:lastPrinted>
  <dcterms:created xsi:type="dcterms:W3CDTF">2024-12-27T15:50:00Z</dcterms:created>
  <dcterms:modified xsi:type="dcterms:W3CDTF">2024-12-30T18:22:00Z</dcterms:modified>
</cp:coreProperties>
</file>