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01365" w14:textId="77777777" w:rsidR="00BA062D" w:rsidRPr="00907C43" w:rsidRDefault="00BA062D" w:rsidP="00907C43">
      <w:pPr>
        <w:pStyle w:val="TitreDocument"/>
        <w:spacing w:before="0" w:after="0" w:line="240" w:lineRule="auto"/>
        <w:ind w:left="0"/>
        <w:rPr>
          <w:rFonts w:eastAsia="Calibri" w:cs="Calibri"/>
          <w:b/>
          <w:sz w:val="24"/>
          <w:szCs w:val="24"/>
        </w:rPr>
      </w:pPr>
      <w:r w:rsidRPr="00907C43">
        <w:rPr>
          <w:szCs w:val="24"/>
        </w:rPr>
        <w:t>E-HANDI TOUR GUIDE DE L’INCLUSION INNOVANTE DES PSDH</w:t>
      </w:r>
    </w:p>
    <w:p w14:paraId="21785687" w14:textId="77777777" w:rsidR="00907C43" w:rsidRDefault="00907C43" w:rsidP="00907C43">
      <w:pPr>
        <w:pStyle w:val="NormalWeb"/>
        <w:spacing w:before="0" w:beforeAutospacing="0" w:after="0" w:afterAutospacing="0"/>
        <w:jc w:val="center"/>
        <w:rPr>
          <w:rFonts w:ascii="Luciole" w:hAnsi="Luciole" w:cs="Calibri"/>
          <w:b/>
          <w:bCs/>
          <w:color w:val="000000"/>
        </w:rPr>
      </w:pPr>
    </w:p>
    <w:p w14:paraId="2A89365E" w14:textId="77777777" w:rsidR="004C5FE0" w:rsidRPr="00907C43" w:rsidRDefault="004C5FE0" w:rsidP="00907C43">
      <w:pPr>
        <w:pStyle w:val="NormalWeb"/>
        <w:spacing w:before="0" w:beforeAutospacing="0" w:after="0" w:afterAutospacing="0"/>
        <w:jc w:val="center"/>
        <w:rPr>
          <w:rFonts w:ascii="Luciole" w:hAnsi="Luciole"/>
        </w:rPr>
      </w:pPr>
      <w:r w:rsidRPr="00907C43">
        <w:rPr>
          <w:rFonts w:ascii="Luciole" w:hAnsi="Luciole" w:cs="Calibri"/>
          <w:b/>
          <w:bCs/>
          <w:color w:val="000000"/>
        </w:rPr>
        <w:t>IDENTIFICATION :</w:t>
      </w:r>
    </w:p>
    <w:p w14:paraId="209C3A9C"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248123AD"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094275BF"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Titre de la pratique exemplaire :</w:t>
      </w:r>
      <w:r w:rsidRPr="00907C43">
        <w:rPr>
          <w:rFonts w:ascii="Luciole" w:hAnsi="Luciole" w:cs="Calibri"/>
          <w:b/>
          <w:bCs/>
          <w:color w:val="000000"/>
        </w:rPr>
        <w:br/>
      </w:r>
    </w:p>
    <w:p w14:paraId="6CF7837F" w14:textId="55ABE851"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 xml:space="preserve">Remboursement des frais de transport pour la formation : Un avantage stratégique pour les entreprises au </w:t>
      </w:r>
      <w:r w:rsidR="00646CE8" w:rsidRPr="00907C43">
        <w:rPr>
          <w:rFonts w:ascii="Luciole" w:hAnsi="Luciole" w:cs="Calibri"/>
          <w:color w:val="000000"/>
        </w:rPr>
        <w:t>Luxembourg.</w:t>
      </w:r>
    </w:p>
    <w:p w14:paraId="42BF8E0F"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3EFC53A7"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Promoteur de l'initiative :</w:t>
      </w:r>
      <w:r w:rsidRPr="00907C43">
        <w:rPr>
          <w:rFonts w:ascii="Luciole" w:hAnsi="Luciole" w:cs="Calibri"/>
          <w:b/>
          <w:bCs/>
          <w:color w:val="000000"/>
        </w:rPr>
        <w:br/>
      </w:r>
    </w:p>
    <w:p w14:paraId="6E7C86AF" w14:textId="7121FA8B"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 xml:space="preserve">Gouvernement du </w:t>
      </w:r>
      <w:r w:rsidR="00646CE8" w:rsidRPr="00907C43">
        <w:rPr>
          <w:rFonts w:ascii="Luciole" w:hAnsi="Luciole" w:cs="Calibri"/>
          <w:color w:val="000000"/>
        </w:rPr>
        <w:t>Luxembourg.</w:t>
      </w:r>
    </w:p>
    <w:p w14:paraId="74288B82"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3F958E46" w14:textId="77777777" w:rsidR="00907C43" w:rsidRDefault="004C5FE0" w:rsidP="00907C43">
      <w:pPr>
        <w:pStyle w:val="NormalWeb"/>
        <w:spacing w:before="0" w:beforeAutospacing="0" w:after="0" w:afterAutospacing="0"/>
        <w:textAlignment w:val="baseline"/>
        <w:rPr>
          <w:rFonts w:ascii="Luciole" w:hAnsi="Luciole" w:cs="Calibri"/>
          <w:b/>
          <w:bCs/>
          <w:color w:val="000000"/>
        </w:rPr>
      </w:pPr>
      <w:r w:rsidRPr="00907C43">
        <w:rPr>
          <w:rFonts w:ascii="Luciole" w:hAnsi="Luciole" w:cs="Calibri"/>
          <w:b/>
          <w:bCs/>
          <w:color w:val="000000"/>
        </w:rPr>
        <w:t>Pays :</w:t>
      </w:r>
      <w:r w:rsidR="00646CE8" w:rsidRPr="00907C43">
        <w:rPr>
          <w:rFonts w:ascii="Luciole" w:hAnsi="Luciole" w:cs="Calibri"/>
          <w:b/>
          <w:bCs/>
          <w:color w:val="000000"/>
        </w:rPr>
        <w:t xml:space="preserve"> </w:t>
      </w:r>
    </w:p>
    <w:p w14:paraId="2F4B9DEF"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3A47E8FA" w14:textId="677FDCEF" w:rsidR="004C5FE0" w:rsidRPr="00907C43" w:rsidRDefault="00646CE8"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Luxembourg</w:t>
      </w:r>
    </w:p>
    <w:p w14:paraId="044A74B3"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02F69CE4" w14:textId="77777777" w:rsidR="00907C43" w:rsidRDefault="004C5FE0" w:rsidP="00907C43">
      <w:pPr>
        <w:pStyle w:val="NormalWeb"/>
        <w:spacing w:before="0" w:beforeAutospacing="0" w:after="0" w:afterAutospacing="0"/>
        <w:textAlignment w:val="baseline"/>
        <w:rPr>
          <w:rFonts w:ascii="Luciole" w:hAnsi="Luciole" w:cs="Calibri"/>
          <w:b/>
          <w:bCs/>
          <w:color w:val="000000"/>
        </w:rPr>
      </w:pPr>
      <w:r w:rsidRPr="00907C43">
        <w:rPr>
          <w:rFonts w:ascii="Luciole" w:hAnsi="Luciole" w:cs="Calibri"/>
          <w:b/>
          <w:bCs/>
          <w:color w:val="000000"/>
        </w:rPr>
        <w:t>Site internet :</w:t>
      </w:r>
      <w:r w:rsidR="00646CE8" w:rsidRPr="00907C43">
        <w:rPr>
          <w:rFonts w:ascii="Luciole" w:hAnsi="Luciole" w:cs="Calibri"/>
          <w:b/>
          <w:bCs/>
          <w:color w:val="000000"/>
        </w:rPr>
        <w:t xml:space="preserve"> </w:t>
      </w:r>
    </w:p>
    <w:p w14:paraId="36646098"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73C18CF8" w14:textId="49ED79BF"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Non spécifié</w:t>
      </w:r>
    </w:p>
    <w:p w14:paraId="7BC70B0B"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43DA6748" w14:textId="77777777" w:rsidR="00907C43" w:rsidRDefault="004C5FE0" w:rsidP="00907C43">
      <w:pPr>
        <w:pStyle w:val="NormalWeb"/>
        <w:spacing w:before="0" w:beforeAutospacing="0" w:after="0" w:afterAutospacing="0"/>
        <w:textAlignment w:val="baseline"/>
        <w:rPr>
          <w:rFonts w:ascii="Luciole" w:hAnsi="Luciole" w:cs="Calibri"/>
          <w:b/>
          <w:bCs/>
          <w:color w:val="000000"/>
        </w:rPr>
      </w:pPr>
      <w:r w:rsidRPr="00907C43">
        <w:rPr>
          <w:rFonts w:ascii="Luciole" w:hAnsi="Luciole" w:cs="Calibri"/>
          <w:b/>
          <w:bCs/>
          <w:color w:val="000000"/>
        </w:rPr>
        <w:t>Contact :</w:t>
      </w:r>
      <w:r w:rsidR="00646CE8" w:rsidRPr="00907C43">
        <w:rPr>
          <w:rFonts w:ascii="Luciole" w:hAnsi="Luciole" w:cs="Calibri"/>
          <w:b/>
          <w:bCs/>
          <w:color w:val="000000"/>
        </w:rPr>
        <w:t xml:space="preserve"> </w:t>
      </w:r>
    </w:p>
    <w:p w14:paraId="543EAA43"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6349F13D" w14:textId="2CB91A9C"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Non spécifié</w:t>
      </w:r>
    </w:p>
    <w:p w14:paraId="26B8A7C6" w14:textId="593672BF" w:rsidR="004C5FE0" w:rsidRDefault="004C5FE0" w:rsidP="00907C43">
      <w:pPr>
        <w:spacing w:after="0" w:line="240" w:lineRule="auto"/>
        <w:ind w:left="0"/>
        <w:rPr>
          <w:rFonts w:ascii="Luciole" w:hAnsi="Luciole" w:cs="Times New Roman"/>
          <w:color w:val="auto"/>
        </w:rPr>
      </w:pPr>
    </w:p>
    <w:p w14:paraId="0316B325" w14:textId="18E34E03" w:rsidR="00907C43" w:rsidRDefault="00907C43">
      <w:pPr>
        <w:spacing w:after="160" w:line="259" w:lineRule="auto"/>
        <w:ind w:left="0" w:firstLine="0"/>
        <w:rPr>
          <w:rFonts w:ascii="Luciole" w:hAnsi="Luciole" w:cs="Times New Roman"/>
          <w:color w:val="auto"/>
        </w:rPr>
      </w:pPr>
      <w:r>
        <w:rPr>
          <w:rFonts w:ascii="Luciole" w:hAnsi="Luciole" w:cs="Times New Roman"/>
          <w:color w:val="auto"/>
        </w:rPr>
        <w:br w:type="page"/>
      </w:r>
    </w:p>
    <w:p w14:paraId="15091F03" w14:textId="77777777" w:rsidR="004C5FE0" w:rsidRPr="00907C43" w:rsidRDefault="004C5FE0" w:rsidP="00907C43">
      <w:pPr>
        <w:pStyle w:val="Titre3"/>
        <w:numPr>
          <w:ilvl w:val="0"/>
          <w:numId w:val="0"/>
        </w:numPr>
        <w:spacing w:before="0" w:after="0" w:line="240" w:lineRule="auto"/>
        <w:jc w:val="both"/>
        <w:rPr>
          <w:rFonts w:ascii="Luciole" w:hAnsi="Luciole"/>
        </w:rPr>
      </w:pPr>
      <w:r w:rsidRPr="00907C43">
        <w:rPr>
          <w:rFonts w:ascii="Luciole" w:hAnsi="Luciole" w:cs="Calibri"/>
          <w:color w:val="000000"/>
          <w:sz w:val="26"/>
          <w:szCs w:val="26"/>
        </w:rPr>
        <w:lastRenderedPageBreak/>
        <w:t>DÉTAIL DE L’INITIATIVE :</w:t>
      </w:r>
    </w:p>
    <w:p w14:paraId="71EEB494"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282DC8EA"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7F818BA6"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Année(s) de mise en œuvre :</w:t>
      </w:r>
      <w:r w:rsidRPr="00907C43">
        <w:rPr>
          <w:rFonts w:ascii="Luciole" w:hAnsi="Luciole" w:cs="Calibri"/>
          <w:b/>
          <w:bCs/>
          <w:color w:val="000000"/>
        </w:rPr>
        <w:br/>
      </w:r>
    </w:p>
    <w:p w14:paraId="19F785E4" w14:textId="27D76CEC"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En cours</w:t>
      </w:r>
    </w:p>
    <w:p w14:paraId="18DCDFEE"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47D84076" w14:textId="77777777"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Groupe(s) cible(s) :</w:t>
      </w:r>
    </w:p>
    <w:p w14:paraId="0E7A58E7" w14:textId="77777777" w:rsidR="00907C43" w:rsidRDefault="00907C43" w:rsidP="00907C43">
      <w:pPr>
        <w:pStyle w:val="NormalWeb"/>
        <w:spacing w:before="0" w:beforeAutospacing="0" w:after="0" w:afterAutospacing="0"/>
        <w:textAlignment w:val="baseline"/>
        <w:rPr>
          <w:rFonts w:ascii="Luciole" w:hAnsi="Luciole" w:cs="Calibri"/>
          <w:color w:val="000000"/>
        </w:rPr>
      </w:pPr>
    </w:p>
    <w:p w14:paraId="4E2DD764" w14:textId="77777777" w:rsidR="004C5FE0" w:rsidRPr="00907C43" w:rsidRDefault="004C5FE0" w:rsidP="00907C43">
      <w:pPr>
        <w:pStyle w:val="NormalWeb"/>
        <w:numPr>
          <w:ilvl w:val="0"/>
          <w:numId w:val="37"/>
        </w:numPr>
        <w:spacing w:before="0" w:beforeAutospacing="0" w:after="0" w:afterAutospacing="0"/>
        <w:textAlignment w:val="baseline"/>
        <w:rPr>
          <w:rFonts w:ascii="Luciole" w:hAnsi="Luciole" w:cs="Calibri"/>
          <w:color w:val="000000"/>
        </w:rPr>
      </w:pPr>
      <w:r w:rsidRPr="00907C43">
        <w:rPr>
          <w:rFonts w:ascii="Luciole" w:hAnsi="Luciole" w:cs="Calibri"/>
          <w:color w:val="000000"/>
        </w:rPr>
        <w:t>Personnes en situation de handicap</w:t>
      </w:r>
    </w:p>
    <w:p w14:paraId="4FAD0014" w14:textId="77777777" w:rsidR="004C5FE0" w:rsidRPr="00907C43" w:rsidRDefault="004C5FE0" w:rsidP="00907C43">
      <w:pPr>
        <w:pStyle w:val="NormalWeb"/>
        <w:numPr>
          <w:ilvl w:val="0"/>
          <w:numId w:val="37"/>
        </w:numPr>
        <w:spacing w:before="0" w:beforeAutospacing="0" w:after="0" w:afterAutospacing="0"/>
        <w:textAlignment w:val="baseline"/>
        <w:rPr>
          <w:rFonts w:ascii="Luciole" w:hAnsi="Luciole" w:cs="Calibri"/>
          <w:color w:val="000000"/>
        </w:rPr>
      </w:pPr>
      <w:r w:rsidRPr="00907C43">
        <w:rPr>
          <w:rFonts w:ascii="Luciole" w:hAnsi="Luciole" w:cs="Calibri"/>
          <w:color w:val="000000"/>
        </w:rPr>
        <w:t>Employés en formation professionnelle</w:t>
      </w:r>
    </w:p>
    <w:p w14:paraId="6C877F6E" w14:textId="77777777" w:rsidR="00646CE8" w:rsidRDefault="00646CE8" w:rsidP="00907C43">
      <w:pPr>
        <w:pStyle w:val="NormalWeb"/>
        <w:spacing w:before="0" w:beforeAutospacing="0" w:after="0" w:afterAutospacing="0"/>
        <w:textAlignment w:val="baseline"/>
        <w:rPr>
          <w:rFonts w:ascii="Luciole" w:hAnsi="Luciole" w:cs="Calibri"/>
          <w:color w:val="000000"/>
        </w:rPr>
      </w:pPr>
    </w:p>
    <w:p w14:paraId="644DDD66" w14:textId="77777777" w:rsidR="00907C43" w:rsidRPr="00907C43" w:rsidRDefault="00907C43" w:rsidP="00907C43">
      <w:pPr>
        <w:pStyle w:val="NormalWeb"/>
        <w:spacing w:before="0" w:beforeAutospacing="0" w:after="0" w:afterAutospacing="0"/>
        <w:textAlignment w:val="baseline"/>
        <w:rPr>
          <w:rFonts w:ascii="Luciole" w:hAnsi="Luciole" w:cs="Calibri"/>
          <w:color w:val="000000"/>
        </w:rPr>
      </w:pPr>
    </w:p>
    <w:p w14:paraId="1A338A9F"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Description :</w:t>
      </w:r>
      <w:r w:rsidRPr="00907C43">
        <w:rPr>
          <w:rFonts w:ascii="Luciole" w:hAnsi="Luciole" w:cs="Calibri"/>
          <w:b/>
          <w:bCs/>
          <w:color w:val="000000"/>
        </w:rPr>
        <w:br/>
      </w:r>
    </w:p>
    <w:p w14:paraId="2530943A" w14:textId="4659A3D8" w:rsidR="00646CE8"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 xml:space="preserve">Bien que les transports publics soient gratuits pour tous au Luxembourg, des frais de transport peuvent encore survenir dans des situations spécifiques, notamment pour la formation professionnelle des salariés en situation de handicap. </w:t>
      </w:r>
    </w:p>
    <w:p w14:paraId="1CB402B0"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3AE8D68F" w14:textId="53B332E3"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 xml:space="preserve">Le gouvernement luxembourgeois propose des dispositifs financiers pour soutenir les entreprises qui investissent dans la formation de ces salariés. Ces dispositifs incluent le </w:t>
      </w:r>
      <w:r w:rsidRPr="00907C43">
        <w:rPr>
          <w:rFonts w:ascii="Luciole" w:hAnsi="Luciole" w:cs="Calibri"/>
          <w:bCs/>
          <w:color w:val="000000"/>
        </w:rPr>
        <w:t>remboursement des frais de transport et d'hébergement</w:t>
      </w:r>
      <w:r w:rsidRPr="00907C43">
        <w:rPr>
          <w:rFonts w:ascii="Luciole" w:hAnsi="Luciole" w:cs="Calibri"/>
          <w:color w:val="000000"/>
        </w:rPr>
        <w:t xml:space="preserve"> lorsque ces coûts ne sont pas couverts par la gratuité des transports publics, par exemple lors de déplacements nécessitant des services de transport adaptés, des voyages à l'étranger, ou des déplacements en dehors des horaires de service des transports publics.</w:t>
      </w:r>
    </w:p>
    <w:p w14:paraId="117BF6E1" w14:textId="32E1A251" w:rsidR="004C5FE0" w:rsidRDefault="004C5FE0" w:rsidP="00907C43">
      <w:pPr>
        <w:spacing w:after="0" w:line="240" w:lineRule="auto"/>
        <w:ind w:left="0"/>
        <w:rPr>
          <w:rFonts w:ascii="Luciole" w:hAnsi="Luciole" w:cs="Times New Roman"/>
          <w:color w:val="auto"/>
        </w:rPr>
      </w:pPr>
    </w:p>
    <w:p w14:paraId="77EF6424" w14:textId="35E1AEA4" w:rsidR="00907C43" w:rsidRDefault="00907C43">
      <w:pPr>
        <w:spacing w:after="160" w:line="259" w:lineRule="auto"/>
        <w:ind w:left="0" w:firstLine="0"/>
        <w:rPr>
          <w:rFonts w:ascii="Luciole" w:hAnsi="Luciole" w:cs="Times New Roman"/>
          <w:color w:val="auto"/>
        </w:rPr>
      </w:pPr>
      <w:r>
        <w:rPr>
          <w:rFonts w:ascii="Luciole" w:hAnsi="Luciole" w:cs="Times New Roman"/>
          <w:color w:val="auto"/>
        </w:rPr>
        <w:br w:type="page"/>
      </w:r>
    </w:p>
    <w:p w14:paraId="5BBAE1CA" w14:textId="77777777" w:rsidR="004C5FE0" w:rsidRPr="00907C43" w:rsidRDefault="004C5FE0" w:rsidP="00907C43">
      <w:pPr>
        <w:pStyle w:val="Titre3"/>
        <w:numPr>
          <w:ilvl w:val="0"/>
          <w:numId w:val="0"/>
        </w:numPr>
        <w:spacing w:before="0" w:after="0" w:line="240" w:lineRule="auto"/>
        <w:jc w:val="both"/>
        <w:rPr>
          <w:rFonts w:ascii="Luciole" w:hAnsi="Luciole"/>
        </w:rPr>
      </w:pPr>
      <w:r w:rsidRPr="00907C43">
        <w:rPr>
          <w:rFonts w:ascii="Luciole" w:hAnsi="Luciole" w:cs="Calibri"/>
          <w:color w:val="000000"/>
          <w:sz w:val="26"/>
          <w:szCs w:val="26"/>
        </w:rPr>
        <w:lastRenderedPageBreak/>
        <w:t>MÉTHODOLOGIE :</w:t>
      </w:r>
    </w:p>
    <w:p w14:paraId="438551CD"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6CA0071A"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523D6449"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Indemnisation des frais de déplacement :</w:t>
      </w:r>
      <w:r w:rsidRPr="00907C43">
        <w:rPr>
          <w:rFonts w:ascii="Luciole" w:hAnsi="Luciole" w:cs="Calibri"/>
          <w:b/>
          <w:bCs/>
          <w:color w:val="000000"/>
        </w:rPr>
        <w:br/>
      </w:r>
    </w:p>
    <w:p w14:paraId="2B74EA3C" w14:textId="183D1778"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Les entreprises peuvent être remboursées pour les frais de transport et d'hébergement engagés dans le cadre de la formation de leurs salariés en situation de handicap. Ce dispositif encourage les entreprises à offrir des formations spécialisées ou délocalisées, répondant ainsi aux besoins spécifiques de ces employés. Les frais de transport, tels que les billets de train, les frais d'essence, et les transports publics, ainsi que les frais d'hébergement, sont éligibles à ce remboursement.</w:t>
      </w:r>
    </w:p>
    <w:p w14:paraId="151CD5EB" w14:textId="77777777" w:rsidR="00646CE8" w:rsidRDefault="00646CE8" w:rsidP="00907C43">
      <w:pPr>
        <w:pStyle w:val="NormalWeb"/>
        <w:spacing w:before="0" w:beforeAutospacing="0" w:after="0" w:afterAutospacing="0"/>
        <w:textAlignment w:val="baseline"/>
        <w:rPr>
          <w:rFonts w:ascii="Luciole" w:hAnsi="Luciole" w:cs="Calibri"/>
          <w:color w:val="000000"/>
        </w:rPr>
      </w:pPr>
    </w:p>
    <w:p w14:paraId="7ABA0CFD" w14:textId="77777777" w:rsidR="00907C43" w:rsidRPr="00907C43" w:rsidRDefault="00907C43" w:rsidP="00907C43">
      <w:pPr>
        <w:pStyle w:val="NormalWeb"/>
        <w:spacing w:before="0" w:beforeAutospacing="0" w:after="0" w:afterAutospacing="0"/>
        <w:textAlignment w:val="baseline"/>
        <w:rPr>
          <w:rFonts w:ascii="Luciole" w:hAnsi="Luciole" w:cs="Calibri"/>
          <w:color w:val="000000"/>
        </w:rPr>
      </w:pPr>
    </w:p>
    <w:p w14:paraId="4E91412B"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Éligibilité et conditions :</w:t>
      </w:r>
      <w:r w:rsidRPr="00907C43">
        <w:rPr>
          <w:rFonts w:ascii="Luciole" w:hAnsi="Luciole" w:cs="Calibri"/>
          <w:b/>
          <w:bCs/>
          <w:color w:val="000000"/>
        </w:rPr>
        <w:br/>
      </w:r>
    </w:p>
    <w:p w14:paraId="3F4AD032" w14:textId="357DE0D2"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Les frais de transport et d'hébergement sont remboursés à condition qu'ils soient directement liés à la formation professionnelle du salarié handicapé. Les formations peuvent avoir lieu en dehors du lieu de travail habituel, notamment dans des centres de formation spécialisés ou dans des institutions proposant des programmes adaptés.</w:t>
      </w:r>
    </w:p>
    <w:p w14:paraId="632F533B" w14:textId="77777777" w:rsidR="00646CE8" w:rsidRPr="00907C43" w:rsidRDefault="00646CE8" w:rsidP="00907C43">
      <w:pPr>
        <w:pStyle w:val="Paragraphedeliste"/>
        <w:spacing w:after="0" w:line="240" w:lineRule="auto"/>
        <w:ind w:left="0"/>
        <w:rPr>
          <w:rFonts w:ascii="Luciole" w:hAnsi="Luciole" w:cs="Calibri"/>
        </w:rPr>
      </w:pPr>
    </w:p>
    <w:p w14:paraId="0E475FB5"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392695BB"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Procédure de remboursement :</w:t>
      </w:r>
      <w:r w:rsidRPr="00907C43">
        <w:rPr>
          <w:rFonts w:ascii="Luciole" w:hAnsi="Luciole" w:cs="Calibri"/>
          <w:b/>
          <w:bCs/>
          <w:color w:val="000000"/>
        </w:rPr>
        <w:br/>
      </w:r>
    </w:p>
    <w:p w14:paraId="3421E42F" w14:textId="184AFEAD"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 xml:space="preserve">Pour bénéficier de ce remboursement, les entreprises doivent soumettre une demande auprès des organismes compétents tels que l’État, le </w:t>
      </w:r>
      <w:r w:rsidRPr="00907C43">
        <w:rPr>
          <w:rFonts w:ascii="Luciole" w:hAnsi="Luciole" w:cs="Calibri"/>
          <w:b/>
          <w:bCs/>
          <w:color w:val="000000"/>
        </w:rPr>
        <w:t>Fonds pour l’Emploi</w:t>
      </w:r>
      <w:r w:rsidRPr="00907C43">
        <w:rPr>
          <w:rFonts w:ascii="Luciole" w:hAnsi="Luciole" w:cs="Calibri"/>
          <w:color w:val="000000"/>
        </w:rPr>
        <w:t>, les Chambres de Commerce, les Chambres des Métiers, ou d’autres fonds sectoriels. La demande doit inclure les justificatifs des dépenses et une description détaillée de la formation suivie. Une fois la demande approuvée, les frais éligibles sont remboursés, réduisant ainsi le coût global de la formation pour l'entreprise.</w:t>
      </w:r>
    </w:p>
    <w:p w14:paraId="72745A3B" w14:textId="77777777" w:rsidR="004C5FE0" w:rsidRPr="00907C43" w:rsidRDefault="004C5FE0" w:rsidP="00907C43">
      <w:pPr>
        <w:pStyle w:val="Titre3"/>
        <w:numPr>
          <w:ilvl w:val="0"/>
          <w:numId w:val="0"/>
        </w:numPr>
        <w:spacing w:before="0" w:after="0" w:line="240" w:lineRule="auto"/>
        <w:jc w:val="both"/>
        <w:rPr>
          <w:rFonts w:ascii="Luciole" w:hAnsi="Luciole"/>
        </w:rPr>
      </w:pPr>
      <w:r w:rsidRPr="00907C43">
        <w:rPr>
          <w:rFonts w:ascii="Luciole" w:hAnsi="Luciole" w:cs="Calibri"/>
          <w:color w:val="000000"/>
          <w:sz w:val="26"/>
          <w:szCs w:val="26"/>
        </w:rPr>
        <w:lastRenderedPageBreak/>
        <w:t>DOMAINE :</w:t>
      </w:r>
    </w:p>
    <w:p w14:paraId="1019013A"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2A50C166"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771829C9"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Facilitation de l'accès à l'emploi :</w:t>
      </w:r>
      <w:r w:rsidRPr="00907C43">
        <w:rPr>
          <w:rFonts w:ascii="Luciole" w:hAnsi="Luciole" w:cs="Calibri"/>
          <w:b/>
          <w:bCs/>
          <w:color w:val="000000"/>
        </w:rPr>
        <w:br/>
      </w:r>
    </w:p>
    <w:p w14:paraId="74B69147" w14:textId="75080C03"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Ce dispositif allège les coûts logistiques pour les employeurs, ce qui permet aux salariés handicapés de suivre des formations adaptées, contribuant ainsi à leur inclusion et à leur développement professionnel.</w:t>
      </w:r>
    </w:p>
    <w:p w14:paraId="6AAD4492" w14:textId="77777777" w:rsidR="00646CE8" w:rsidRDefault="00646CE8" w:rsidP="00907C43">
      <w:pPr>
        <w:pStyle w:val="NormalWeb"/>
        <w:spacing w:before="0" w:beforeAutospacing="0" w:after="0" w:afterAutospacing="0"/>
        <w:textAlignment w:val="baseline"/>
        <w:rPr>
          <w:rFonts w:ascii="Luciole" w:hAnsi="Luciole" w:cs="Calibri"/>
          <w:color w:val="000000"/>
        </w:rPr>
      </w:pPr>
    </w:p>
    <w:p w14:paraId="50C1C301" w14:textId="77777777" w:rsidR="00907C43" w:rsidRPr="00907C43" w:rsidRDefault="00907C43" w:rsidP="00907C43">
      <w:pPr>
        <w:pStyle w:val="NormalWeb"/>
        <w:spacing w:before="0" w:beforeAutospacing="0" w:after="0" w:afterAutospacing="0"/>
        <w:textAlignment w:val="baseline"/>
        <w:rPr>
          <w:rFonts w:ascii="Luciole" w:hAnsi="Luciole" w:cs="Calibri"/>
          <w:color w:val="000000"/>
        </w:rPr>
      </w:pPr>
    </w:p>
    <w:p w14:paraId="3462D734"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Renforcement des compétences professionnelles :</w:t>
      </w:r>
      <w:r w:rsidRPr="00907C43">
        <w:rPr>
          <w:rFonts w:ascii="Luciole" w:hAnsi="Luciole" w:cs="Calibri"/>
          <w:b/>
          <w:bCs/>
          <w:color w:val="000000"/>
        </w:rPr>
        <w:br/>
      </w:r>
    </w:p>
    <w:p w14:paraId="1AF036C6" w14:textId="4EE6B790"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Le remboursement des frais de transport et d'hébergement permet aux entreprises d'envoyer leurs salariés dans des centres de formation spécialisés, offrant ainsi des programmes de haute qualité adaptés aux besoins des personnes en situation de handicap. Cela améliore les compétences et l’employabilité des salariés.</w:t>
      </w:r>
    </w:p>
    <w:p w14:paraId="0969CB1C" w14:textId="77777777" w:rsidR="00646CE8" w:rsidRPr="00907C43" w:rsidRDefault="00646CE8" w:rsidP="00907C43">
      <w:pPr>
        <w:pStyle w:val="Paragraphedeliste"/>
        <w:spacing w:after="0" w:line="240" w:lineRule="auto"/>
        <w:ind w:left="0"/>
        <w:rPr>
          <w:rFonts w:ascii="Luciole" w:hAnsi="Luciole" w:cs="Calibri"/>
        </w:rPr>
      </w:pPr>
    </w:p>
    <w:p w14:paraId="142C7AA5"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041CE8B5"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Augmentation de la mobilité professionnelle :</w:t>
      </w:r>
      <w:r w:rsidRPr="00907C43">
        <w:rPr>
          <w:rFonts w:ascii="Luciole" w:hAnsi="Luciole" w:cs="Calibri"/>
          <w:b/>
          <w:bCs/>
          <w:color w:val="000000"/>
        </w:rPr>
        <w:br/>
      </w:r>
    </w:p>
    <w:p w14:paraId="0C7205A7" w14:textId="64180F9D"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En soutenant la mobilité des salariés handicapés pour suivre des formations en dehors de leur région, ce dispositif renforce leur développement professionnel et contribue à leur satisfaction au travail.</w:t>
      </w:r>
    </w:p>
    <w:p w14:paraId="0D4F823B" w14:textId="3AA1A95E" w:rsidR="004C5FE0" w:rsidRDefault="004C5FE0" w:rsidP="00907C43">
      <w:pPr>
        <w:spacing w:after="0" w:line="240" w:lineRule="auto"/>
        <w:ind w:left="0"/>
        <w:rPr>
          <w:rFonts w:ascii="Luciole" w:hAnsi="Luciole" w:cs="Times New Roman"/>
          <w:color w:val="auto"/>
        </w:rPr>
      </w:pPr>
    </w:p>
    <w:p w14:paraId="0A1BEC28" w14:textId="6C3F6025" w:rsidR="00907C43" w:rsidRDefault="00907C43">
      <w:pPr>
        <w:spacing w:after="160" w:line="259" w:lineRule="auto"/>
        <w:ind w:left="0" w:firstLine="0"/>
        <w:rPr>
          <w:rFonts w:ascii="Luciole" w:hAnsi="Luciole" w:cs="Times New Roman"/>
          <w:color w:val="auto"/>
        </w:rPr>
      </w:pPr>
      <w:r>
        <w:rPr>
          <w:rFonts w:ascii="Luciole" w:hAnsi="Luciole" w:cs="Times New Roman"/>
          <w:color w:val="auto"/>
        </w:rPr>
        <w:br w:type="page"/>
      </w:r>
    </w:p>
    <w:p w14:paraId="3E43CB81" w14:textId="77777777" w:rsidR="004C5FE0" w:rsidRPr="00907C43" w:rsidRDefault="004C5FE0" w:rsidP="00907C43">
      <w:pPr>
        <w:pStyle w:val="Titre3"/>
        <w:numPr>
          <w:ilvl w:val="0"/>
          <w:numId w:val="0"/>
        </w:numPr>
        <w:spacing w:before="0" w:after="0" w:line="240" w:lineRule="auto"/>
        <w:jc w:val="both"/>
        <w:rPr>
          <w:rFonts w:ascii="Luciole" w:hAnsi="Luciole"/>
        </w:rPr>
      </w:pPr>
      <w:r w:rsidRPr="00907C43">
        <w:rPr>
          <w:rFonts w:ascii="Luciole" w:hAnsi="Luciole" w:cs="Calibri"/>
          <w:color w:val="000000"/>
          <w:sz w:val="26"/>
          <w:szCs w:val="26"/>
        </w:rPr>
        <w:lastRenderedPageBreak/>
        <w:t>PRODUITS / RÉSULTATS :</w:t>
      </w:r>
    </w:p>
    <w:p w14:paraId="1474E0C0"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62DEDBFF"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49E2E4EF" w14:textId="77777777"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Type de produit :</w:t>
      </w:r>
    </w:p>
    <w:p w14:paraId="1AAAB2F6" w14:textId="77777777" w:rsidR="00907C43" w:rsidRDefault="00907C43" w:rsidP="00907C43">
      <w:pPr>
        <w:pStyle w:val="NormalWeb"/>
        <w:spacing w:before="0" w:beforeAutospacing="0" w:after="0" w:afterAutospacing="0"/>
        <w:textAlignment w:val="baseline"/>
        <w:rPr>
          <w:rFonts w:ascii="Luciole" w:hAnsi="Luciole" w:cs="Calibri"/>
          <w:color w:val="000000"/>
        </w:rPr>
      </w:pPr>
    </w:p>
    <w:p w14:paraId="20759332" w14:textId="77777777"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Dispositif de soutien financier</w:t>
      </w:r>
    </w:p>
    <w:p w14:paraId="66EB5DD4"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6E7B7052"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21A03B5F"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Brève description :</w:t>
      </w:r>
      <w:r w:rsidRPr="00907C43">
        <w:rPr>
          <w:rFonts w:ascii="Luciole" w:hAnsi="Luciole" w:cs="Calibri"/>
          <w:b/>
          <w:bCs/>
          <w:color w:val="000000"/>
        </w:rPr>
        <w:br/>
      </w:r>
    </w:p>
    <w:p w14:paraId="599CADFE" w14:textId="1B12613D"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Le remboursement des frais de transport et d'hébergement pour les formations professionnelles des salariés handicapés permet d'élargir les possibilités de formation tout en réduisant les coûts pour les entreprises. Ce soutien financier contribue à promouvoir l'inclusion professionnelle des personnes en situation de handicap.</w:t>
      </w:r>
    </w:p>
    <w:p w14:paraId="6ACBD864" w14:textId="1090DF9F" w:rsidR="004C5FE0" w:rsidRDefault="004C5FE0" w:rsidP="00907C43">
      <w:pPr>
        <w:spacing w:after="0" w:line="240" w:lineRule="auto"/>
        <w:ind w:left="0"/>
        <w:rPr>
          <w:rFonts w:ascii="Luciole" w:hAnsi="Luciole" w:cs="Times New Roman"/>
          <w:color w:val="auto"/>
        </w:rPr>
      </w:pPr>
    </w:p>
    <w:p w14:paraId="2B291DB4" w14:textId="77777777" w:rsidR="00907C43" w:rsidRPr="00907C43" w:rsidRDefault="00907C43" w:rsidP="00907C43">
      <w:pPr>
        <w:spacing w:after="0" w:line="240" w:lineRule="auto"/>
        <w:ind w:left="0"/>
        <w:rPr>
          <w:rFonts w:ascii="Luciole" w:hAnsi="Luciole" w:cs="Times New Roman"/>
          <w:color w:val="auto"/>
        </w:rPr>
      </w:pPr>
    </w:p>
    <w:p w14:paraId="29395C7B" w14:textId="77777777" w:rsidR="004C5FE0" w:rsidRPr="00907C43" w:rsidRDefault="004C5FE0" w:rsidP="00907C43">
      <w:pPr>
        <w:pStyle w:val="Titre3"/>
        <w:numPr>
          <w:ilvl w:val="0"/>
          <w:numId w:val="0"/>
        </w:numPr>
        <w:spacing w:before="0" w:after="0" w:line="240" w:lineRule="auto"/>
        <w:jc w:val="both"/>
        <w:rPr>
          <w:rFonts w:ascii="Luciole" w:hAnsi="Luciole"/>
        </w:rPr>
      </w:pPr>
      <w:r w:rsidRPr="00907C43">
        <w:rPr>
          <w:rFonts w:ascii="Luciole" w:hAnsi="Luciole" w:cs="Calibri"/>
          <w:color w:val="000000"/>
          <w:sz w:val="26"/>
          <w:szCs w:val="26"/>
        </w:rPr>
        <w:t>IMPACT ET TRANSFÉRABILITÉ :</w:t>
      </w:r>
    </w:p>
    <w:p w14:paraId="6365533D"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413724A0" w14:textId="77777777" w:rsidR="00907C43" w:rsidRDefault="00907C43" w:rsidP="00907C43">
      <w:pPr>
        <w:pStyle w:val="NormalWeb"/>
        <w:spacing w:before="0" w:beforeAutospacing="0" w:after="0" w:afterAutospacing="0"/>
        <w:textAlignment w:val="baseline"/>
        <w:rPr>
          <w:rFonts w:ascii="Luciole" w:hAnsi="Luciole" w:cs="Calibri"/>
          <w:b/>
          <w:bCs/>
          <w:color w:val="000000"/>
        </w:rPr>
      </w:pPr>
    </w:p>
    <w:p w14:paraId="7B84E351"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t>Impact sur les groupes cibles :</w:t>
      </w:r>
      <w:r w:rsidRPr="00907C43">
        <w:rPr>
          <w:rFonts w:ascii="Luciole" w:hAnsi="Luciole" w:cs="Calibri"/>
          <w:b/>
          <w:bCs/>
          <w:color w:val="000000"/>
        </w:rPr>
        <w:br/>
      </w:r>
    </w:p>
    <w:p w14:paraId="189DA0BF" w14:textId="3411886C" w:rsidR="004C5FE0" w:rsidRP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color w:val="000000"/>
        </w:rPr>
        <w:t>Ce dispositif est essentiel pour surmonter les barrières logistiques qui peuvent empêcher l'accès des personnes en situation de handicap à des formations spécialisées. En facilitant la mobilité et l'accès à des programmes adaptés, cette initiative améliore significativement les compétences professionnelles et l'employabilité des personnes concernées.</w:t>
      </w:r>
    </w:p>
    <w:p w14:paraId="20DF848C"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39ECA1A9" w14:textId="77777777" w:rsidR="00646CE8" w:rsidRPr="00907C43" w:rsidRDefault="00646CE8" w:rsidP="00907C43">
      <w:pPr>
        <w:pStyle w:val="NormalWeb"/>
        <w:spacing w:before="0" w:beforeAutospacing="0" w:after="0" w:afterAutospacing="0"/>
        <w:textAlignment w:val="baseline"/>
        <w:rPr>
          <w:rFonts w:ascii="Luciole" w:hAnsi="Luciole" w:cs="Calibri"/>
          <w:color w:val="000000"/>
        </w:rPr>
      </w:pPr>
    </w:p>
    <w:p w14:paraId="0D184EDB" w14:textId="77777777" w:rsidR="00907C43" w:rsidRDefault="00907C43">
      <w:pPr>
        <w:spacing w:after="160" w:line="259" w:lineRule="auto"/>
        <w:ind w:left="0" w:firstLine="0"/>
        <w:rPr>
          <w:rFonts w:ascii="Luciole" w:eastAsia="Times New Roman" w:hAnsi="Luciole" w:cs="Calibri"/>
          <w:bCs/>
          <w:kern w:val="0"/>
          <w:sz w:val="24"/>
          <w:lang w:val="fr-BE" w:eastAsia="fr-BE"/>
          <w14:ligatures w14:val="none"/>
        </w:rPr>
      </w:pPr>
      <w:r>
        <w:rPr>
          <w:rFonts w:ascii="Luciole" w:hAnsi="Luciole" w:cs="Calibri"/>
          <w:b w:val="0"/>
          <w:bCs/>
        </w:rPr>
        <w:br w:type="page"/>
      </w:r>
    </w:p>
    <w:p w14:paraId="7895E778" w14:textId="77777777" w:rsidR="00907C43" w:rsidRDefault="004C5FE0" w:rsidP="00907C43">
      <w:pPr>
        <w:pStyle w:val="NormalWeb"/>
        <w:spacing w:before="0" w:beforeAutospacing="0" w:after="0" w:afterAutospacing="0"/>
        <w:textAlignment w:val="baseline"/>
        <w:rPr>
          <w:rFonts w:ascii="Luciole" w:hAnsi="Luciole" w:cs="Calibri"/>
          <w:color w:val="000000"/>
        </w:rPr>
      </w:pPr>
      <w:r w:rsidRPr="00907C43">
        <w:rPr>
          <w:rFonts w:ascii="Luciole" w:hAnsi="Luciole" w:cs="Calibri"/>
          <w:b/>
          <w:bCs/>
          <w:color w:val="000000"/>
        </w:rPr>
        <w:lastRenderedPageBreak/>
        <w:t>Brève description :</w:t>
      </w:r>
      <w:r w:rsidRPr="00907C43">
        <w:rPr>
          <w:rFonts w:ascii="Luciole" w:hAnsi="Luciole" w:cs="Calibri"/>
          <w:b/>
          <w:bCs/>
          <w:color w:val="000000"/>
        </w:rPr>
        <w:br/>
      </w:r>
    </w:p>
    <w:p w14:paraId="722C6C7E" w14:textId="29DDE47A" w:rsidR="004C5FE0" w:rsidRPr="00907C43" w:rsidRDefault="004C5FE0" w:rsidP="00907C43">
      <w:pPr>
        <w:pStyle w:val="NormalWeb"/>
        <w:spacing w:before="0" w:beforeAutospacing="0" w:after="0" w:afterAutospacing="0"/>
        <w:textAlignment w:val="baseline"/>
        <w:rPr>
          <w:rFonts w:ascii="Luciole" w:hAnsi="Luciole" w:cs="Calibri"/>
          <w:color w:val="000000"/>
        </w:rPr>
      </w:pPr>
      <w:bookmarkStart w:id="0" w:name="_GoBack"/>
      <w:bookmarkEnd w:id="0"/>
      <w:r w:rsidRPr="00907C43">
        <w:rPr>
          <w:rFonts w:ascii="Luciole" w:hAnsi="Luciole" w:cs="Calibri"/>
          <w:color w:val="000000"/>
        </w:rPr>
        <w:t>Ce modèle de remboursement des frais de formation est facilement adaptable à d'autres contextes nationaux ou sectoriels. Il peut être mis en œuvre dans différents pays ou industries pour promouvoir l'inclusion professionnelle des personnes en situation de handicap, tout en offrant un soutien financier aux entreprises qui investissent dans la formation de leurs salariés handicapés.</w:t>
      </w:r>
    </w:p>
    <w:p w14:paraId="2D0E81FF" w14:textId="7E63DF6A" w:rsidR="00777167" w:rsidRPr="00907C43" w:rsidRDefault="00777167" w:rsidP="00907C43">
      <w:pPr>
        <w:spacing w:after="0" w:line="240" w:lineRule="auto"/>
        <w:ind w:left="0"/>
        <w:rPr>
          <w:rFonts w:ascii="Luciole" w:hAnsi="Luciole"/>
        </w:rPr>
      </w:pPr>
    </w:p>
    <w:sectPr w:rsidR="00777167" w:rsidRPr="00907C43" w:rsidSect="001C06E4">
      <w:headerReference w:type="default" r:id="rId8"/>
      <w:footerReference w:type="default" r:id="rId9"/>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9889C" w14:textId="77777777" w:rsidR="008D1E7C" w:rsidRDefault="008D1E7C" w:rsidP="008D2C54">
      <w:r>
        <w:separator/>
      </w:r>
    </w:p>
  </w:endnote>
  <w:endnote w:type="continuationSeparator" w:id="0">
    <w:p w14:paraId="29D95DD1" w14:textId="77777777" w:rsidR="008D1E7C" w:rsidRDefault="008D1E7C"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35E65ECC-BAB5-4219-9FB9-51B401E83F69}"/>
    <w:embedBold r:id="rId2" w:fontKey="{2D3AFCF1-50AF-449C-B784-D530F360A9F6}"/>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907C43">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71FAD" w14:textId="77777777" w:rsidR="008D1E7C" w:rsidRDefault="008D1E7C" w:rsidP="008D2C54">
      <w:r>
        <w:separator/>
      </w:r>
    </w:p>
  </w:footnote>
  <w:footnote w:type="continuationSeparator" w:id="0">
    <w:p w14:paraId="55343754" w14:textId="77777777" w:rsidR="008D1E7C" w:rsidRDefault="008D1E7C"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907C43">
    <w:pPr>
      <w:pStyle w:val="En-tte"/>
      <w:ind w:hanging="197"/>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5B0D"/>
    <w:multiLevelType w:val="hybridMultilevel"/>
    <w:tmpl w:val="B1CA060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AD1EDC"/>
    <w:multiLevelType w:val="multilevel"/>
    <w:tmpl w:val="4B66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415591B"/>
    <w:multiLevelType w:val="multilevel"/>
    <w:tmpl w:val="5C38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3" w15:restartNumberingAfterBreak="0">
    <w:nsid w:val="47AA7823"/>
    <w:multiLevelType w:val="multilevel"/>
    <w:tmpl w:val="69A8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FD867F7"/>
    <w:multiLevelType w:val="multilevel"/>
    <w:tmpl w:val="82D80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C2632C"/>
    <w:multiLevelType w:val="multilevel"/>
    <w:tmpl w:val="CF989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70851"/>
    <w:multiLevelType w:val="multilevel"/>
    <w:tmpl w:val="96A0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7"/>
  </w:num>
  <w:num w:numId="2">
    <w:abstractNumId w:val="32"/>
  </w:num>
  <w:num w:numId="3">
    <w:abstractNumId w:val="15"/>
  </w:num>
  <w:num w:numId="4">
    <w:abstractNumId w:val="33"/>
  </w:num>
  <w:num w:numId="5">
    <w:abstractNumId w:val="3"/>
  </w:num>
  <w:num w:numId="6">
    <w:abstractNumId w:val="5"/>
  </w:num>
  <w:num w:numId="7">
    <w:abstractNumId w:val="28"/>
  </w:num>
  <w:num w:numId="8">
    <w:abstractNumId w:val="35"/>
  </w:num>
  <w:num w:numId="9">
    <w:abstractNumId w:val="10"/>
  </w:num>
  <w:num w:numId="10">
    <w:abstractNumId w:val="24"/>
  </w:num>
  <w:num w:numId="11">
    <w:abstractNumId w:val="27"/>
  </w:num>
  <w:num w:numId="12">
    <w:abstractNumId w:val="11"/>
  </w:num>
  <w:num w:numId="13">
    <w:abstractNumId w:val="2"/>
  </w:num>
  <w:num w:numId="14">
    <w:abstractNumId w:val="36"/>
  </w:num>
  <w:num w:numId="15">
    <w:abstractNumId w:val="14"/>
  </w:num>
  <w:num w:numId="16">
    <w:abstractNumId w:val="1"/>
  </w:num>
  <w:num w:numId="17">
    <w:abstractNumId w:val="21"/>
  </w:num>
  <w:num w:numId="18">
    <w:abstractNumId w:val="31"/>
  </w:num>
  <w:num w:numId="19">
    <w:abstractNumId w:val="12"/>
  </w:num>
  <w:num w:numId="20">
    <w:abstractNumId w:val="22"/>
  </w:num>
  <w:num w:numId="21">
    <w:abstractNumId w:val="8"/>
  </w:num>
  <w:num w:numId="22">
    <w:abstractNumId w:val="19"/>
  </w:num>
  <w:num w:numId="23">
    <w:abstractNumId w:val="26"/>
  </w:num>
  <w:num w:numId="24">
    <w:abstractNumId w:val="13"/>
  </w:num>
  <w:num w:numId="25">
    <w:abstractNumId w:val="20"/>
  </w:num>
  <w:num w:numId="26">
    <w:abstractNumId w:val="6"/>
  </w:num>
  <w:num w:numId="27">
    <w:abstractNumId w:val="18"/>
  </w:num>
  <w:num w:numId="28">
    <w:abstractNumId w:val="9"/>
  </w:num>
  <w:num w:numId="29">
    <w:abstractNumId w:val="7"/>
  </w:num>
  <w:num w:numId="30">
    <w:abstractNumId w:val="34"/>
  </w:num>
  <w:num w:numId="31">
    <w:abstractNumId w:val="4"/>
  </w:num>
  <w:num w:numId="32">
    <w:abstractNumId w:val="25"/>
  </w:num>
  <w:num w:numId="33">
    <w:abstractNumId w:val="23"/>
  </w:num>
  <w:num w:numId="34">
    <w:abstractNumId w:val="16"/>
  </w:num>
  <w:num w:numId="35">
    <w:abstractNumId w:val="29"/>
  </w:num>
  <w:num w:numId="36">
    <w:abstractNumId w:val="3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125850"/>
    <w:rsid w:val="001B002B"/>
    <w:rsid w:val="001C06E4"/>
    <w:rsid w:val="002052FF"/>
    <w:rsid w:val="00221C95"/>
    <w:rsid w:val="00283099"/>
    <w:rsid w:val="00295C02"/>
    <w:rsid w:val="002E1F33"/>
    <w:rsid w:val="002F109E"/>
    <w:rsid w:val="003058F9"/>
    <w:rsid w:val="00344B35"/>
    <w:rsid w:val="00357120"/>
    <w:rsid w:val="00361213"/>
    <w:rsid w:val="003748C3"/>
    <w:rsid w:val="003E67EF"/>
    <w:rsid w:val="00435290"/>
    <w:rsid w:val="0043677B"/>
    <w:rsid w:val="0049728F"/>
    <w:rsid w:val="004B742E"/>
    <w:rsid w:val="004C45B6"/>
    <w:rsid w:val="004C5FE0"/>
    <w:rsid w:val="004D7D3D"/>
    <w:rsid w:val="004F69D1"/>
    <w:rsid w:val="00533A90"/>
    <w:rsid w:val="005B47C7"/>
    <w:rsid w:val="00646CE8"/>
    <w:rsid w:val="006C2583"/>
    <w:rsid w:val="006C5B7A"/>
    <w:rsid w:val="006D53CC"/>
    <w:rsid w:val="00714AE0"/>
    <w:rsid w:val="00777167"/>
    <w:rsid w:val="007A1FBB"/>
    <w:rsid w:val="007D6C46"/>
    <w:rsid w:val="0083110E"/>
    <w:rsid w:val="008657EB"/>
    <w:rsid w:val="00875269"/>
    <w:rsid w:val="008B2213"/>
    <w:rsid w:val="008D1E7C"/>
    <w:rsid w:val="008D2C54"/>
    <w:rsid w:val="008D7634"/>
    <w:rsid w:val="00907C43"/>
    <w:rsid w:val="00967BB0"/>
    <w:rsid w:val="009E18D8"/>
    <w:rsid w:val="00A26B77"/>
    <w:rsid w:val="00A56FB1"/>
    <w:rsid w:val="00A768BD"/>
    <w:rsid w:val="00AE07A3"/>
    <w:rsid w:val="00AF5BF2"/>
    <w:rsid w:val="00B143B2"/>
    <w:rsid w:val="00B93ED7"/>
    <w:rsid w:val="00B97622"/>
    <w:rsid w:val="00BA062D"/>
    <w:rsid w:val="00C13CAA"/>
    <w:rsid w:val="00C72994"/>
    <w:rsid w:val="00C976F9"/>
    <w:rsid w:val="00CE6F36"/>
    <w:rsid w:val="00D41596"/>
    <w:rsid w:val="00D82191"/>
    <w:rsid w:val="00D93F3C"/>
    <w:rsid w:val="00DC1BEB"/>
    <w:rsid w:val="00E936A3"/>
    <w:rsid w:val="00ED1093"/>
    <w:rsid w:val="00ED3DDF"/>
    <w:rsid w:val="00F07106"/>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862732">
      <w:bodyDiv w:val="1"/>
      <w:marLeft w:val="0"/>
      <w:marRight w:val="0"/>
      <w:marTop w:val="0"/>
      <w:marBottom w:val="0"/>
      <w:divBdr>
        <w:top w:val="none" w:sz="0" w:space="0" w:color="auto"/>
        <w:left w:val="none" w:sz="0" w:space="0" w:color="auto"/>
        <w:bottom w:val="none" w:sz="0" w:space="0" w:color="auto"/>
        <w:right w:val="none" w:sz="0" w:space="0" w:color="auto"/>
      </w:divBdr>
    </w:div>
    <w:div w:id="938760643">
      <w:bodyDiv w:val="1"/>
      <w:marLeft w:val="0"/>
      <w:marRight w:val="0"/>
      <w:marTop w:val="0"/>
      <w:marBottom w:val="0"/>
      <w:divBdr>
        <w:top w:val="none" w:sz="0" w:space="0" w:color="auto"/>
        <w:left w:val="none" w:sz="0" w:space="0" w:color="auto"/>
        <w:bottom w:val="none" w:sz="0" w:space="0" w:color="auto"/>
        <w:right w:val="none" w:sz="0" w:space="0" w:color="auto"/>
      </w:divBdr>
    </w:div>
    <w:div w:id="19652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40B5A-18B9-4D52-A0E1-8A781A64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8</TotalTime>
  <Pages>6</Pages>
  <Words>745</Words>
  <Characters>4101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2024-12-28T14:20:00Z</dcterms:created>
  <dcterms:modified xsi:type="dcterms:W3CDTF">2024-12-30T16:56:00Z</dcterms:modified>
</cp:coreProperties>
</file>