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FEB0F" w14:textId="77777777" w:rsidR="00ED3591" w:rsidRPr="002A2888" w:rsidRDefault="00ED3591" w:rsidP="002A2888">
      <w:pPr>
        <w:pStyle w:val="TitreDocument"/>
        <w:spacing w:before="0" w:after="0" w:line="240" w:lineRule="auto"/>
        <w:ind w:left="0" w:firstLine="0"/>
        <w:rPr>
          <w:szCs w:val="24"/>
        </w:rPr>
      </w:pPr>
      <w:r w:rsidRPr="002A2888">
        <w:rPr>
          <w:szCs w:val="24"/>
        </w:rPr>
        <w:t>E-HANDI TOUR GUIDE DE L’INCLUSION INNOVANTE DES PSDH</w:t>
      </w:r>
    </w:p>
    <w:p w14:paraId="587418BF" w14:textId="77777777" w:rsidR="002A2888" w:rsidRDefault="002A2888" w:rsidP="002A2888">
      <w:pPr>
        <w:pStyle w:val="TitreDocument"/>
        <w:spacing w:before="0" w:after="0" w:line="240" w:lineRule="auto"/>
        <w:ind w:left="0" w:firstLine="0"/>
        <w:rPr>
          <w:szCs w:val="24"/>
        </w:rPr>
      </w:pPr>
    </w:p>
    <w:p w14:paraId="5A395512" w14:textId="77777777" w:rsidR="00ED3591" w:rsidRDefault="00ED3591" w:rsidP="002A2888">
      <w:pPr>
        <w:pStyle w:val="TitreDocument"/>
        <w:spacing w:before="0" w:after="0" w:line="240" w:lineRule="auto"/>
        <w:ind w:left="0" w:firstLine="0"/>
        <w:rPr>
          <w:szCs w:val="24"/>
        </w:rPr>
      </w:pPr>
      <w:proofErr w:type="spellStart"/>
      <w:r w:rsidRPr="002A2888">
        <w:rPr>
          <w:szCs w:val="24"/>
        </w:rPr>
        <w:t>Picto</w:t>
      </w:r>
      <w:proofErr w:type="spellEnd"/>
      <w:r w:rsidRPr="002A2888">
        <w:rPr>
          <w:szCs w:val="24"/>
        </w:rPr>
        <w:t xml:space="preserve"> Access</w:t>
      </w:r>
    </w:p>
    <w:p w14:paraId="78E63711" w14:textId="77777777" w:rsidR="002A2888" w:rsidRDefault="002A2888" w:rsidP="002A2888">
      <w:pPr>
        <w:pStyle w:val="TitreDocument"/>
        <w:spacing w:before="0" w:after="0" w:line="240" w:lineRule="auto"/>
        <w:ind w:left="0" w:firstLine="0"/>
        <w:rPr>
          <w:szCs w:val="24"/>
        </w:rPr>
      </w:pPr>
    </w:p>
    <w:p w14:paraId="32DB85A8" w14:textId="77777777" w:rsidR="002A2888" w:rsidRPr="002A2888" w:rsidRDefault="002A2888" w:rsidP="002A2888">
      <w:pPr>
        <w:pStyle w:val="TitreDocument"/>
        <w:spacing w:before="0" w:after="0" w:line="240" w:lineRule="auto"/>
        <w:ind w:left="0" w:firstLine="0"/>
        <w:rPr>
          <w:szCs w:val="24"/>
        </w:rPr>
      </w:pPr>
    </w:p>
    <w:p w14:paraId="64817D56" w14:textId="6C672977" w:rsidR="00ED3591" w:rsidRPr="002A2888" w:rsidRDefault="00ED3591" w:rsidP="002A2888">
      <w:pPr>
        <w:pStyle w:val="EnteteTableau"/>
        <w:numPr>
          <w:ilvl w:val="0"/>
          <w:numId w:val="0"/>
        </w:numPr>
        <w:spacing w:before="0" w:after="0"/>
      </w:pPr>
      <w:r w:rsidRPr="002A2888">
        <w:t>Promoteur de l'initiative</w:t>
      </w:r>
      <w:r w:rsidR="00113A30" w:rsidRPr="002A2888">
        <w:rPr>
          <w:rFonts w:ascii="Calibri" w:hAnsi="Calibri" w:cs="Calibri"/>
        </w:rPr>
        <w:t> </w:t>
      </w:r>
      <w:r w:rsidR="00113A30" w:rsidRPr="002A2888">
        <w:t>:</w:t>
      </w:r>
    </w:p>
    <w:p w14:paraId="2AA348E3" w14:textId="77777777" w:rsidR="002A2888" w:rsidRDefault="002A2888" w:rsidP="002A2888">
      <w:pPr>
        <w:pStyle w:val="CelluleTableau"/>
        <w:spacing w:line="240" w:lineRule="auto"/>
        <w:ind w:left="0" w:right="0"/>
        <w:rPr>
          <w:rFonts w:eastAsia="Calibri"/>
        </w:rPr>
      </w:pPr>
    </w:p>
    <w:p w14:paraId="56B2385D" w14:textId="77777777" w:rsidR="00ED3591" w:rsidRPr="002A2888" w:rsidRDefault="00ED3591" w:rsidP="002A2888">
      <w:pPr>
        <w:pStyle w:val="CelluleTableau"/>
        <w:spacing w:line="240" w:lineRule="auto"/>
        <w:ind w:left="0" w:right="0"/>
        <w:rPr>
          <w:rFonts w:eastAsia="Calibri"/>
        </w:rPr>
      </w:pPr>
      <w:r w:rsidRPr="002A2888">
        <w:rPr>
          <w:rFonts w:eastAsia="Calibri"/>
        </w:rPr>
        <w:t>APF France Handicap</w:t>
      </w:r>
    </w:p>
    <w:p w14:paraId="552FF18C" w14:textId="77777777" w:rsidR="002A2888" w:rsidRDefault="002A2888" w:rsidP="002A2888">
      <w:pPr>
        <w:pStyle w:val="EnteteTableau"/>
        <w:numPr>
          <w:ilvl w:val="0"/>
          <w:numId w:val="0"/>
        </w:numPr>
        <w:spacing w:before="0" w:after="0"/>
      </w:pPr>
    </w:p>
    <w:p w14:paraId="0E2925C0" w14:textId="646FBA73" w:rsidR="00ED3591" w:rsidRPr="002A2888" w:rsidRDefault="00ED3591" w:rsidP="002A2888">
      <w:pPr>
        <w:pStyle w:val="EnteteTableau"/>
        <w:numPr>
          <w:ilvl w:val="0"/>
          <w:numId w:val="0"/>
        </w:numPr>
        <w:spacing w:before="0" w:after="0"/>
      </w:pPr>
      <w:r w:rsidRPr="002A2888">
        <w:t>Pays</w:t>
      </w:r>
      <w:r w:rsidR="00113A30" w:rsidRPr="002A2888">
        <w:rPr>
          <w:rFonts w:ascii="Calibri" w:hAnsi="Calibri" w:cs="Calibri"/>
        </w:rPr>
        <w:t> </w:t>
      </w:r>
      <w:r w:rsidR="00113A30" w:rsidRPr="002A2888">
        <w:t>:</w:t>
      </w:r>
    </w:p>
    <w:p w14:paraId="2B5273D5" w14:textId="77777777" w:rsidR="002A2888" w:rsidRDefault="002A2888" w:rsidP="002A2888">
      <w:pPr>
        <w:pStyle w:val="CelluleTableau"/>
        <w:spacing w:line="240" w:lineRule="auto"/>
        <w:ind w:left="0" w:right="0"/>
        <w:rPr>
          <w:rFonts w:eastAsia="Calibri"/>
        </w:rPr>
      </w:pPr>
    </w:p>
    <w:p w14:paraId="5B99E1AF" w14:textId="77777777" w:rsidR="00ED3591" w:rsidRPr="002A2888" w:rsidRDefault="00ED3591" w:rsidP="002A2888">
      <w:pPr>
        <w:pStyle w:val="CelluleTableau"/>
        <w:spacing w:line="240" w:lineRule="auto"/>
        <w:ind w:left="0" w:right="0"/>
        <w:rPr>
          <w:rFonts w:eastAsia="Calibri"/>
        </w:rPr>
      </w:pPr>
      <w:r w:rsidRPr="002A2888">
        <w:rPr>
          <w:rFonts w:eastAsia="Calibri"/>
        </w:rPr>
        <w:t>France</w:t>
      </w:r>
    </w:p>
    <w:p w14:paraId="15328268" w14:textId="77777777" w:rsidR="002A2888" w:rsidRDefault="002A2888" w:rsidP="002A2888">
      <w:pPr>
        <w:pStyle w:val="EnteteTableau"/>
        <w:numPr>
          <w:ilvl w:val="0"/>
          <w:numId w:val="0"/>
        </w:numPr>
        <w:spacing w:before="0" w:after="0"/>
      </w:pPr>
    </w:p>
    <w:p w14:paraId="3973D37C" w14:textId="0B7A3BB8" w:rsidR="00ED3591" w:rsidRPr="002A2888" w:rsidRDefault="00ED3591" w:rsidP="002A2888">
      <w:pPr>
        <w:pStyle w:val="EnteteTableau"/>
        <w:numPr>
          <w:ilvl w:val="0"/>
          <w:numId w:val="0"/>
        </w:numPr>
        <w:spacing w:before="0" w:after="0"/>
      </w:pPr>
      <w:r w:rsidRPr="002A2888">
        <w:t>Site internet</w:t>
      </w:r>
      <w:r w:rsidR="00113A30" w:rsidRPr="002A2888">
        <w:rPr>
          <w:rFonts w:ascii="Calibri" w:hAnsi="Calibri" w:cs="Calibri"/>
        </w:rPr>
        <w:t> </w:t>
      </w:r>
      <w:r w:rsidR="00113A30" w:rsidRPr="002A2888">
        <w:t>:</w:t>
      </w:r>
    </w:p>
    <w:p w14:paraId="4DC182F5" w14:textId="77777777" w:rsidR="002A2888" w:rsidRDefault="002A2888" w:rsidP="002A2888">
      <w:pPr>
        <w:pStyle w:val="CelluleTableau"/>
        <w:spacing w:line="240" w:lineRule="auto"/>
        <w:ind w:left="0" w:right="0"/>
        <w:rPr>
          <w:rStyle w:val="Lienhypertexte"/>
          <w:rFonts w:eastAsia="Calibri"/>
        </w:rPr>
      </w:pPr>
    </w:p>
    <w:p w14:paraId="2B851EE1" w14:textId="6107BDED" w:rsidR="00ED3591" w:rsidRPr="002A2888" w:rsidRDefault="00733DC2" w:rsidP="002A2888">
      <w:pPr>
        <w:pStyle w:val="CelluleTableau"/>
        <w:spacing w:line="240" w:lineRule="auto"/>
        <w:ind w:left="0" w:right="0"/>
        <w:rPr>
          <w:rFonts w:eastAsia="Calibri"/>
        </w:rPr>
      </w:pPr>
      <w:hyperlink r:id="rId8" w:tooltip="Site de Picto Access" w:history="1">
        <w:r w:rsidR="00ED3591" w:rsidRPr="002A2888">
          <w:rPr>
            <w:rStyle w:val="Lienhypertexte"/>
            <w:rFonts w:eastAsia="Calibri"/>
          </w:rPr>
          <w:t>https://www.pictoaccess.fr/</w:t>
        </w:r>
      </w:hyperlink>
    </w:p>
    <w:p w14:paraId="13C9CD2B" w14:textId="77777777" w:rsidR="002A2888" w:rsidRDefault="002A2888" w:rsidP="002A2888">
      <w:pPr>
        <w:pStyle w:val="EnteteTableau"/>
        <w:numPr>
          <w:ilvl w:val="0"/>
          <w:numId w:val="0"/>
        </w:numPr>
        <w:spacing w:before="0" w:after="0"/>
      </w:pPr>
    </w:p>
    <w:p w14:paraId="2CFE679E" w14:textId="3904B832" w:rsidR="00ED3591" w:rsidRPr="002A2888" w:rsidRDefault="00ED3591" w:rsidP="002A2888">
      <w:pPr>
        <w:pStyle w:val="EnteteTableau"/>
        <w:numPr>
          <w:ilvl w:val="0"/>
          <w:numId w:val="0"/>
        </w:numPr>
        <w:spacing w:before="0" w:after="0"/>
      </w:pPr>
      <w:r w:rsidRPr="002A2888">
        <w:t>Contact</w:t>
      </w:r>
      <w:r w:rsidR="00113A30" w:rsidRPr="002A2888">
        <w:rPr>
          <w:rFonts w:ascii="Calibri" w:hAnsi="Calibri" w:cs="Calibri"/>
        </w:rPr>
        <w:t> </w:t>
      </w:r>
      <w:r w:rsidR="00113A30" w:rsidRPr="002A2888">
        <w:t>:</w:t>
      </w:r>
    </w:p>
    <w:p w14:paraId="3FD0AE22" w14:textId="77777777" w:rsidR="002A2888" w:rsidRDefault="002A2888" w:rsidP="002A2888">
      <w:pPr>
        <w:pStyle w:val="CelluleTableau"/>
        <w:spacing w:line="240" w:lineRule="auto"/>
        <w:ind w:left="0" w:right="0"/>
        <w:rPr>
          <w:rFonts w:eastAsia="Calibri"/>
        </w:rPr>
      </w:pPr>
    </w:p>
    <w:p w14:paraId="36D9F5FC" w14:textId="056EECF4" w:rsidR="00ED3591" w:rsidRPr="002A2888" w:rsidRDefault="00ED3591" w:rsidP="002A2888">
      <w:pPr>
        <w:pStyle w:val="CelluleTableau"/>
        <w:spacing w:line="240" w:lineRule="auto"/>
        <w:ind w:left="0" w:right="0"/>
        <w:rPr>
          <w:rStyle w:val="Lienhypertexte"/>
          <w:rFonts w:eastAsia="Calibri"/>
        </w:rPr>
      </w:pPr>
      <w:r w:rsidRPr="002A2888">
        <w:rPr>
          <w:rFonts w:eastAsia="Calibri"/>
        </w:rPr>
        <w:t xml:space="preserve">Daniel </w:t>
      </w:r>
      <w:proofErr w:type="spellStart"/>
      <w:r w:rsidRPr="002A2888">
        <w:rPr>
          <w:rFonts w:eastAsia="Calibri"/>
        </w:rPr>
        <w:t>Grancho</w:t>
      </w:r>
      <w:proofErr w:type="spellEnd"/>
      <w:r w:rsidRPr="002A2888">
        <w:rPr>
          <w:rFonts w:eastAsia="Calibri"/>
        </w:rPr>
        <w:t xml:space="preserve"> - </w:t>
      </w:r>
      <w:hyperlink r:id="rId9" w:tooltip="Mail de Daniel Grancho " w:history="1">
        <w:r w:rsidRPr="002A2888">
          <w:rPr>
            <w:rStyle w:val="Lienhypertexte"/>
            <w:rFonts w:eastAsia="Calibri"/>
          </w:rPr>
          <w:t>daniel@pictoaccess.fr</w:t>
        </w:r>
      </w:hyperlink>
    </w:p>
    <w:p w14:paraId="051B1ABA" w14:textId="77777777" w:rsidR="00113A30" w:rsidRPr="002A2888" w:rsidRDefault="00113A30" w:rsidP="002A2888">
      <w:pPr>
        <w:pStyle w:val="CelluleTableau"/>
        <w:spacing w:line="240" w:lineRule="auto"/>
        <w:ind w:left="0" w:right="0"/>
        <w:rPr>
          <w:rStyle w:val="Lienhypertexte"/>
          <w:rFonts w:eastAsia="Calibri"/>
        </w:rPr>
      </w:pPr>
    </w:p>
    <w:p w14:paraId="7BDD0CC3" w14:textId="77777777" w:rsidR="00113A30" w:rsidRPr="002A2888" w:rsidRDefault="00113A30" w:rsidP="002A2888">
      <w:pPr>
        <w:pStyle w:val="CelluleTableau"/>
        <w:spacing w:line="240" w:lineRule="auto"/>
        <w:ind w:left="0" w:right="0"/>
        <w:rPr>
          <w:rFonts w:eastAsia="Calibri"/>
        </w:rPr>
      </w:pPr>
    </w:p>
    <w:p w14:paraId="62BE995D" w14:textId="77777777" w:rsidR="00ED3591" w:rsidRPr="002A2888" w:rsidRDefault="00ED3591" w:rsidP="002A2888">
      <w:pPr>
        <w:pStyle w:val="Titre1"/>
        <w:numPr>
          <w:ilvl w:val="0"/>
          <w:numId w:val="0"/>
        </w:numPr>
        <w:spacing w:before="0" w:after="0" w:line="240" w:lineRule="auto"/>
        <w:rPr>
          <w:rFonts w:eastAsia="Calibri" w:cs="Calibri"/>
          <w:szCs w:val="24"/>
        </w:rPr>
      </w:pPr>
      <w:r w:rsidRPr="002A2888">
        <w:rPr>
          <w:szCs w:val="24"/>
        </w:rPr>
        <w:t>DETAIL DE L’INITIATIVE :</w:t>
      </w:r>
    </w:p>
    <w:p w14:paraId="43B51B14" w14:textId="77777777" w:rsidR="002A2888" w:rsidRDefault="002A2888" w:rsidP="002A2888">
      <w:pPr>
        <w:pStyle w:val="EnteteTableau"/>
        <w:numPr>
          <w:ilvl w:val="0"/>
          <w:numId w:val="0"/>
        </w:numPr>
        <w:spacing w:before="0" w:after="0"/>
      </w:pPr>
    </w:p>
    <w:p w14:paraId="15DCA81C" w14:textId="77777777" w:rsidR="002A2888" w:rsidRDefault="002A2888" w:rsidP="002A2888">
      <w:pPr>
        <w:pStyle w:val="EnteteTableau"/>
        <w:numPr>
          <w:ilvl w:val="0"/>
          <w:numId w:val="0"/>
        </w:numPr>
        <w:spacing w:before="0" w:after="0"/>
      </w:pPr>
    </w:p>
    <w:p w14:paraId="56DD48EE" w14:textId="215FFA1C" w:rsidR="00ED3591" w:rsidRPr="002A2888" w:rsidRDefault="00ED3591" w:rsidP="002A2888">
      <w:pPr>
        <w:pStyle w:val="EnteteTableau"/>
        <w:numPr>
          <w:ilvl w:val="0"/>
          <w:numId w:val="0"/>
        </w:numPr>
        <w:spacing w:before="0" w:after="0"/>
        <w:rPr>
          <w:rFonts w:eastAsia="Calibri" w:cs="Calibri"/>
        </w:rPr>
      </w:pPr>
      <w:r w:rsidRPr="002A2888">
        <w:t>Année(s) de mise en œuvre</w:t>
      </w:r>
      <w:r w:rsidR="00113A30" w:rsidRPr="002A2888">
        <w:rPr>
          <w:rFonts w:ascii="Calibri" w:hAnsi="Calibri" w:cs="Calibri"/>
        </w:rPr>
        <w:t> </w:t>
      </w:r>
      <w:r w:rsidR="00113A30" w:rsidRPr="002A2888">
        <w:t>:</w:t>
      </w:r>
    </w:p>
    <w:p w14:paraId="4D29E57B" w14:textId="77777777" w:rsidR="002A2888" w:rsidRDefault="002A2888" w:rsidP="002A2888">
      <w:pPr>
        <w:pStyle w:val="CelluleTableau"/>
        <w:spacing w:line="240" w:lineRule="auto"/>
        <w:ind w:left="0" w:right="0"/>
      </w:pPr>
    </w:p>
    <w:p w14:paraId="0243ADF4" w14:textId="77777777" w:rsidR="00ED3591" w:rsidRPr="002A2888" w:rsidRDefault="00ED3591" w:rsidP="002A2888">
      <w:pPr>
        <w:pStyle w:val="CelluleTableau"/>
        <w:spacing w:line="240" w:lineRule="auto"/>
        <w:ind w:left="0" w:right="0"/>
        <w:rPr>
          <w:rFonts w:eastAsia="Calibri" w:cs="Calibri"/>
        </w:rPr>
      </w:pPr>
      <w:r w:rsidRPr="002A2888">
        <w:t>Depuis 2015</w:t>
      </w:r>
    </w:p>
    <w:p w14:paraId="5B557912" w14:textId="77777777" w:rsidR="002A2888" w:rsidRDefault="002A2888" w:rsidP="002A2888">
      <w:pPr>
        <w:pStyle w:val="EnteteTableau"/>
        <w:numPr>
          <w:ilvl w:val="0"/>
          <w:numId w:val="0"/>
        </w:numPr>
        <w:spacing w:before="0" w:after="0"/>
      </w:pPr>
    </w:p>
    <w:p w14:paraId="79129C20" w14:textId="59FC69BD" w:rsidR="002A2888" w:rsidRDefault="002A2888">
      <w:pPr>
        <w:spacing w:after="160" w:line="259" w:lineRule="auto"/>
        <w:ind w:left="0" w:firstLine="0"/>
        <w:rPr>
          <w:b/>
        </w:rPr>
      </w:pPr>
      <w:r>
        <w:br w:type="page"/>
      </w:r>
    </w:p>
    <w:p w14:paraId="797514CC" w14:textId="77777777" w:rsidR="00ED3591" w:rsidRPr="002A2888" w:rsidRDefault="00ED3591" w:rsidP="002A2888">
      <w:pPr>
        <w:pStyle w:val="EnteteTableau"/>
        <w:numPr>
          <w:ilvl w:val="0"/>
          <w:numId w:val="0"/>
        </w:numPr>
        <w:spacing w:before="0" w:after="0"/>
        <w:rPr>
          <w:rFonts w:eastAsia="Calibri" w:cs="Calibri"/>
        </w:rPr>
      </w:pPr>
      <w:r w:rsidRPr="002A2888">
        <w:lastRenderedPageBreak/>
        <w:t>Groupe(s) cible(s) :</w:t>
      </w:r>
    </w:p>
    <w:p w14:paraId="70FF42C0" w14:textId="77777777" w:rsidR="002A2888" w:rsidRDefault="002A2888" w:rsidP="002A2888">
      <w:pPr>
        <w:pStyle w:val="CelluleTableau"/>
        <w:spacing w:line="240" w:lineRule="auto"/>
        <w:ind w:left="0" w:right="0"/>
      </w:pPr>
    </w:p>
    <w:p w14:paraId="1BABC7EE" w14:textId="0D4A5265" w:rsidR="00ED3591" w:rsidRPr="002A2888" w:rsidRDefault="00ED3591" w:rsidP="002A2888">
      <w:pPr>
        <w:pStyle w:val="CelluleTableau"/>
        <w:spacing w:line="240" w:lineRule="auto"/>
        <w:ind w:left="0" w:right="0"/>
      </w:pPr>
      <w:r w:rsidRPr="002A2888">
        <w:t>Personnes fragilisées, y compris les personnes en situation de handicap (physique, psychique, sensoriel), ainsi que les acteurs publics et privés (établissements recevant du public, réseaux de transports, bailleurs)</w:t>
      </w:r>
      <w:r w:rsidR="00113A30" w:rsidRPr="002A2888">
        <w:t>.</w:t>
      </w:r>
    </w:p>
    <w:p w14:paraId="7A0AD996" w14:textId="77777777" w:rsidR="00113A30" w:rsidRPr="002A2888" w:rsidRDefault="00113A30" w:rsidP="002A2888">
      <w:pPr>
        <w:pStyle w:val="CelluleTableau"/>
        <w:spacing w:line="240" w:lineRule="auto"/>
        <w:ind w:left="0" w:right="0"/>
      </w:pPr>
    </w:p>
    <w:p w14:paraId="7747ACC1" w14:textId="77777777" w:rsidR="00113A30" w:rsidRPr="002A2888" w:rsidRDefault="00113A30" w:rsidP="002A2888">
      <w:pPr>
        <w:pStyle w:val="CelluleTableau"/>
        <w:spacing w:line="240" w:lineRule="auto"/>
        <w:ind w:left="0" w:right="0"/>
        <w:rPr>
          <w:rFonts w:eastAsia="Calibri" w:cs="Calibri"/>
        </w:rPr>
      </w:pPr>
    </w:p>
    <w:p w14:paraId="2821BC92" w14:textId="139B8B6B" w:rsidR="00ED3591" w:rsidRPr="002A2888" w:rsidRDefault="00ED3591" w:rsidP="002A2888">
      <w:pPr>
        <w:pStyle w:val="EnteteTableau"/>
        <w:numPr>
          <w:ilvl w:val="0"/>
          <w:numId w:val="0"/>
        </w:numPr>
        <w:spacing w:before="0" w:after="0"/>
        <w:rPr>
          <w:rFonts w:eastAsia="Calibri" w:cs="Calibri"/>
        </w:rPr>
      </w:pPr>
      <w:r w:rsidRPr="002A2888">
        <w:t>Description</w:t>
      </w:r>
      <w:r w:rsidR="00113A30" w:rsidRPr="002A2888">
        <w:rPr>
          <w:rFonts w:ascii="Calibri" w:hAnsi="Calibri" w:cs="Calibri"/>
        </w:rPr>
        <w:t> </w:t>
      </w:r>
      <w:r w:rsidR="00113A30" w:rsidRPr="002A2888">
        <w:t>:</w:t>
      </w:r>
    </w:p>
    <w:p w14:paraId="0BB0B684" w14:textId="77777777" w:rsidR="002A2888" w:rsidRDefault="002A2888" w:rsidP="002A2888">
      <w:pPr>
        <w:pStyle w:val="CelluleTableau"/>
        <w:spacing w:line="240" w:lineRule="auto"/>
        <w:ind w:left="0" w:right="0"/>
      </w:pPr>
    </w:p>
    <w:p w14:paraId="5140563F" w14:textId="77777777" w:rsidR="00113A30" w:rsidRPr="002A2888" w:rsidRDefault="00ED3591" w:rsidP="002A2888">
      <w:pPr>
        <w:pStyle w:val="CelluleTableau"/>
        <w:spacing w:line="240" w:lineRule="auto"/>
        <w:ind w:left="0" w:right="0"/>
      </w:pPr>
      <w:proofErr w:type="spellStart"/>
      <w:r w:rsidRPr="002A2888">
        <w:t>Picto</w:t>
      </w:r>
      <w:proofErr w:type="spellEnd"/>
      <w:r w:rsidRPr="002A2888">
        <w:t xml:space="preserve"> Access est une solution numérique conçue pour améliorer l'accessibilité des lieux publics et privés pour les personnes en situation de handicap. L’initiative vise à fournir des informations claires et fiables sur les conditions d’accessibilité à travers une série de pictogrammes codés par couleur (vert, jaune, rouge) qui couvrent divers types de handicaps et de fragilités. </w:t>
      </w:r>
    </w:p>
    <w:p w14:paraId="512B6521" w14:textId="77777777" w:rsidR="00113A30" w:rsidRPr="002A2888" w:rsidRDefault="00113A30" w:rsidP="002A2888">
      <w:pPr>
        <w:pStyle w:val="CelluleTableau"/>
        <w:spacing w:line="240" w:lineRule="auto"/>
        <w:ind w:left="0" w:right="0"/>
      </w:pPr>
    </w:p>
    <w:p w14:paraId="314BEEFA" w14:textId="2C398894" w:rsidR="00ED3591" w:rsidRPr="002A2888" w:rsidRDefault="00ED3591" w:rsidP="002A2888">
      <w:pPr>
        <w:pStyle w:val="CelluleTableau"/>
        <w:spacing w:line="240" w:lineRule="auto"/>
        <w:ind w:left="0" w:right="0"/>
      </w:pPr>
      <w:r w:rsidRPr="002A2888">
        <w:t>Ces pictogrammes sont déployés sur des supports numériques et physiques pour permettre aux utilisateurs de décider s’ils peuvent accéder en toute autonomie, avec accompagnement, ou si le lieu est inaccessible.</w:t>
      </w:r>
    </w:p>
    <w:p w14:paraId="08D396D5" w14:textId="77777777" w:rsidR="00113A30" w:rsidRPr="002A2888" w:rsidRDefault="00113A30" w:rsidP="002A2888">
      <w:pPr>
        <w:pStyle w:val="CelluleTableau"/>
        <w:spacing w:line="240" w:lineRule="auto"/>
        <w:ind w:left="0" w:right="0"/>
      </w:pPr>
    </w:p>
    <w:p w14:paraId="384E15D0" w14:textId="77777777" w:rsidR="00113A30" w:rsidRPr="002A2888" w:rsidRDefault="00113A30" w:rsidP="002A2888">
      <w:pPr>
        <w:pStyle w:val="CelluleTableau"/>
        <w:spacing w:line="240" w:lineRule="auto"/>
        <w:ind w:left="0" w:right="0"/>
        <w:rPr>
          <w:rFonts w:eastAsia="Calibri" w:cs="Calibri"/>
        </w:rPr>
      </w:pPr>
    </w:p>
    <w:p w14:paraId="491BC0AA" w14:textId="0701021B" w:rsidR="00ED3591" w:rsidRPr="002A2888" w:rsidRDefault="00ED3591" w:rsidP="002A2888">
      <w:pPr>
        <w:pStyle w:val="EnteteTableau"/>
        <w:numPr>
          <w:ilvl w:val="0"/>
          <w:numId w:val="0"/>
        </w:numPr>
        <w:spacing w:before="0" w:after="0"/>
        <w:rPr>
          <w:rFonts w:eastAsia="Calibri" w:cs="Calibri"/>
        </w:rPr>
      </w:pPr>
      <w:r w:rsidRPr="002A2888">
        <w:t>Méthodologie</w:t>
      </w:r>
      <w:r w:rsidR="00113A30" w:rsidRPr="002A2888">
        <w:rPr>
          <w:rFonts w:ascii="Calibri" w:hAnsi="Calibri" w:cs="Calibri"/>
        </w:rPr>
        <w:t> </w:t>
      </w:r>
      <w:r w:rsidR="00113A30" w:rsidRPr="002A2888">
        <w:t>:</w:t>
      </w:r>
    </w:p>
    <w:p w14:paraId="155695AF" w14:textId="77777777" w:rsidR="002A2888" w:rsidRDefault="002A2888" w:rsidP="002A2888">
      <w:pPr>
        <w:pStyle w:val="CelluleTableau"/>
        <w:spacing w:line="240" w:lineRule="auto"/>
        <w:ind w:left="0" w:right="0"/>
      </w:pPr>
    </w:p>
    <w:p w14:paraId="35B9291A" w14:textId="77777777" w:rsidR="002A2888" w:rsidRDefault="002A2888" w:rsidP="002A2888">
      <w:pPr>
        <w:pStyle w:val="CelluleTableau"/>
        <w:spacing w:line="240" w:lineRule="auto"/>
        <w:ind w:left="0" w:right="0"/>
      </w:pPr>
    </w:p>
    <w:p w14:paraId="48BB1D6A" w14:textId="77777777" w:rsidR="00ED3591" w:rsidRPr="002A2888" w:rsidRDefault="00ED3591" w:rsidP="002A2888">
      <w:pPr>
        <w:pStyle w:val="CelluleTableau"/>
        <w:spacing w:line="240" w:lineRule="auto"/>
        <w:ind w:left="0" w:right="0"/>
        <w:rPr>
          <w:rFonts w:eastAsia="Calibri" w:cs="Calibri"/>
        </w:rPr>
      </w:pPr>
      <w:proofErr w:type="spellStart"/>
      <w:r w:rsidRPr="002A2888">
        <w:t>Picto</w:t>
      </w:r>
      <w:proofErr w:type="spellEnd"/>
      <w:r w:rsidRPr="002A2888">
        <w:t xml:space="preserve"> Access s'articule autour de trois axes principaux :</w:t>
      </w:r>
    </w:p>
    <w:p w14:paraId="4D643550" w14:textId="77777777" w:rsidR="00ED3591" w:rsidRPr="002A2888" w:rsidRDefault="00ED3591" w:rsidP="002A2888">
      <w:pPr>
        <w:spacing w:after="0" w:line="240" w:lineRule="auto"/>
        <w:ind w:left="0" w:firstLine="0"/>
        <w:rPr>
          <w:rFonts w:eastAsia="Calibri" w:cs="Calibri"/>
          <w:color w:val="auto"/>
        </w:rPr>
      </w:pPr>
    </w:p>
    <w:p w14:paraId="6C4C3026" w14:textId="77777777" w:rsidR="00ED3591" w:rsidRPr="002A2888" w:rsidRDefault="00ED3591" w:rsidP="002A2888">
      <w:pPr>
        <w:pStyle w:val="Paragraphedeliste"/>
        <w:numPr>
          <w:ilvl w:val="0"/>
          <w:numId w:val="31"/>
        </w:numPr>
        <w:spacing w:after="0" w:line="240" w:lineRule="auto"/>
        <w:rPr>
          <w:rFonts w:eastAsia="Calibri" w:cs="Calibri"/>
          <w:color w:val="auto"/>
        </w:rPr>
      </w:pPr>
      <w:r w:rsidRPr="002A2888">
        <w:rPr>
          <w:rFonts w:eastAsia="Times New Roman" w:cs="Times New Roman"/>
          <w:b/>
          <w:color w:val="auto"/>
        </w:rPr>
        <w:t xml:space="preserve">Qualification : </w:t>
      </w:r>
      <w:r w:rsidRPr="002A2888">
        <w:rPr>
          <w:rFonts w:eastAsia="Times New Roman" w:cs="Times New Roman"/>
          <w:color w:val="auto"/>
        </w:rPr>
        <w:t>Structuration des données d'accessibilité pour les établissements, les voiries et les réseaux de transports.</w:t>
      </w:r>
    </w:p>
    <w:p w14:paraId="4CBA70D1" w14:textId="77777777" w:rsidR="00113A30" w:rsidRPr="002A2888" w:rsidRDefault="00113A30" w:rsidP="002A2888">
      <w:pPr>
        <w:spacing w:after="0" w:line="240" w:lineRule="auto"/>
        <w:ind w:left="0"/>
        <w:rPr>
          <w:rFonts w:eastAsia="Calibri" w:cs="Calibri"/>
          <w:color w:val="auto"/>
        </w:rPr>
      </w:pPr>
    </w:p>
    <w:p w14:paraId="41E012F2" w14:textId="77777777" w:rsidR="00ED3591" w:rsidRPr="002A2888" w:rsidRDefault="00ED3591" w:rsidP="002A2888">
      <w:pPr>
        <w:pStyle w:val="Paragraphedeliste"/>
        <w:numPr>
          <w:ilvl w:val="0"/>
          <w:numId w:val="31"/>
        </w:numPr>
        <w:spacing w:after="0" w:line="240" w:lineRule="auto"/>
        <w:rPr>
          <w:rFonts w:eastAsia="Calibri" w:cs="Calibri"/>
          <w:color w:val="auto"/>
        </w:rPr>
      </w:pPr>
      <w:r w:rsidRPr="002A2888">
        <w:rPr>
          <w:rFonts w:eastAsia="Times New Roman" w:cs="Times New Roman"/>
          <w:b/>
          <w:color w:val="auto"/>
        </w:rPr>
        <w:t xml:space="preserve">Valorisation : </w:t>
      </w:r>
      <w:r w:rsidRPr="002A2888">
        <w:rPr>
          <w:rFonts w:eastAsia="Times New Roman" w:cs="Times New Roman"/>
          <w:color w:val="auto"/>
        </w:rPr>
        <w:t>Communication de ces informations via des pictogrammes sur des supports variés (sites web, signalétique, supports numériques et papiers).</w:t>
      </w:r>
    </w:p>
    <w:p w14:paraId="7D2AEE8B" w14:textId="77777777" w:rsidR="00113A30" w:rsidRPr="002A2888" w:rsidRDefault="00113A30" w:rsidP="002A2888">
      <w:pPr>
        <w:pStyle w:val="Paragraphedeliste"/>
        <w:spacing w:after="0" w:line="240" w:lineRule="auto"/>
        <w:ind w:left="0"/>
        <w:rPr>
          <w:rFonts w:eastAsia="Calibri" w:cs="Calibri"/>
          <w:color w:val="auto"/>
        </w:rPr>
      </w:pPr>
    </w:p>
    <w:p w14:paraId="5C255629" w14:textId="189C3AFA" w:rsidR="00ED3591" w:rsidRPr="002A2888" w:rsidRDefault="00ED3591" w:rsidP="002A2888">
      <w:pPr>
        <w:pStyle w:val="Paragraphedeliste"/>
        <w:numPr>
          <w:ilvl w:val="0"/>
          <w:numId w:val="31"/>
        </w:numPr>
        <w:spacing w:after="0" w:line="240" w:lineRule="auto"/>
        <w:rPr>
          <w:rFonts w:eastAsia="Calibri" w:cs="Calibri"/>
          <w:color w:val="auto"/>
        </w:rPr>
      </w:pPr>
      <w:r w:rsidRPr="002A2888">
        <w:rPr>
          <w:rFonts w:eastAsia="Times New Roman" w:cs="Times New Roman"/>
          <w:b/>
          <w:color w:val="auto"/>
        </w:rPr>
        <w:lastRenderedPageBreak/>
        <w:t xml:space="preserve">Pilotage : </w:t>
      </w:r>
      <w:r w:rsidRPr="002A2888">
        <w:rPr>
          <w:rFonts w:eastAsia="Times New Roman" w:cs="Times New Roman"/>
          <w:color w:val="auto"/>
        </w:rPr>
        <w:t xml:space="preserve">Suivi et mise à jour de l'accessibilité grâce à des tableaux de bord interactifs. En 2022, </w:t>
      </w:r>
      <w:proofErr w:type="spellStart"/>
      <w:r w:rsidRPr="002A2888">
        <w:rPr>
          <w:rFonts w:eastAsia="Times New Roman" w:cs="Times New Roman"/>
          <w:color w:val="auto"/>
        </w:rPr>
        <w:t>Picto</w:t>
      </w:r>
      <w:proofErr w:type="spellEnd"/>
      <w:r w:rsidRPr="002A2888">
        <w:rPr>
          <w:rFonts w:eastAsia="Times New Roman" w:cs="Times New Roman"/>
          <w:color w:val="auto"/>
        </w:rPr>
        <w:t xml:space="preserve"> Access a été intégré à APF France Handicap, renforçant</w:t>
      </w:r>
      <w:r w:rsidR="00113A30" w:rsidRPr="002A2888">
        <w:rPr>
          <w:rFonts w:eastAsia="Times New Roman" w:cs="Times New Roman"/>
          <w:color w:val="auto"/>
        </w:rPr>
        <w:t xml:space="preserve"> </w:t>
      </w:r>
      <w:r w:rsidRPr="002A2888">
        <w:rPr>
          <w:rFonts w:eastAsia="Times New Roman" w:cs="Times New Roman"/>
          <w:color w:val="auto"/>
        </w:rPr>
        <w:t>l'impact de cette initiative sur l'accessibilité et l'inclusion.</w:t>
      </w:r>
    </w:p>
    <w:p w14:paraId="72ED9F55" w14:textId="77777777" w:rsidR="00113A30" w:rsidRPr="002A2888" w:rsidRDefault="00113A30" w:rsidP="002A2888">
      <w:pPr>
        <w:pStyle w:val="Paragraphedeliste"/>
        <w:spacing w:after="0" w:line="240" w:lineRule="auto"/>
        <w:ind w:left="0"/>
        <w:rPr>
          <w:rFonts w:eastAsia="Calibri" w:cs="Calibri"/>
          <w:color w:val="auto"/>
        </w:rPr>
      </w:pPr>
    </w:p>
    <w:p w14:paraId="3C8F3F85" w14:textId="77777777" w:rsidR="00113A30" w:rsidRPr="002A2888" w:rsidRDefault="00113A30" w:rsidP="002A2888">
      <w:pPr>
        <w:spacing w:after="0" w:line="240" w:lineRule="auto"/>
        <w:ind w:left="0"/>
        <w:rPr>
          <w:rFonts w:eastAsia="Calibri" w:cs="Calibri"/>
          <w:color w:val="auto"/>
        </w:rPr>
      </w:pPr>
    </w:p>
    <w:p w14:paraId="47280F66" w14:textId="77777777" w:rsidR="00ED3591" w:rsidRPr="002A2888" w:rsidRDefault="00ED3591" w:rsidP="002A2888">
      <w:pPr>
        <w:pStyle w:val="Titre1"/>
        <w:numPr>
          <w:ilvl w:val="0"/>
          <w:numId w:val="0"/>
        </w:numPr>
        <w:spacing w:before="0" w:after="0" w:line="240" w:lineRule="auto"/>
        <w:rPr>
          <w:rFonts w:eastAsia="Calibri" w:cs="Calibri"/>
          <w:szCs w:val="24"/>
        </w:rPr>
      </w:pPr>
      <w:r w:rsidRPr="002A2888">
        <w:rPr>
          <w:szCs w:val="24"/>
        </w:rPr>
        <w:t>DOMAINE :</w:t>
      </w:r>
    </w:p>
    <w:p w14:paraId="7C68895F" w14:textId="77777777" w:rsidR="002A2888" w:rsidRDefault="002A2888" w:rsidP="002A2888">
      <w:pPr>
        <w:pStyle w:val="EnteteTableau"/>
        <w:numPr>
          <w:ilvl w:val="0"/>
          <w:numId w:val="0"/>
        </w:numPr>
        <w:spacing w:before="0" w:after="0"/>
      </w:pPr>
    </w:p>
    <w:p w14:paraId="516B0130" w14:textId="77777777" w:rsidR="002A2888" w:rsidRDefault="002A2888" w:rsidP="002A2888">
      <w:pPr>
        <w:pStyle w:val="EnteteTableau"/>
        <w:numPr>
          <w:ilvl w:val="0"/>
          <w:numId w:val="0"/>
        </w:numPr>
        <w:spacing w:before="0" w:after="0"/>
      </w:pPr>
    </w:p>
    <w:p w14:paraId="45AC5056" w14:textId="0F13D458" w:rsidR="00ED3591" w:rsidRPr="002A2888" w:rsidRDefault="00ED3591" w:rsidP="002A2888">
      <w:pPr>
        <w:pStyle w:val="EnteteTableau"/>
        <w:numPr>
          <w:ilvl w:val="0"/>
          <w:numId w:val="0"/>
        </w:numPr>
        <w:spacing w:before="0" w:after="0"/>
        <w:rPr>
          <w:rFonts w:eastAsia="Calibri" w:cs="Calibri"/>
        </w:rPr>
      </w:pPr>
      <w:r w:rsidRPr="002A2888">
        <w:t>Facilitation de l'accès à l'emploi</w:t>
      </w:r>
      <w:r w:rsidR="00113A30" w:rsidRPr="002A2888">
        <w:rPr>
          <w:rFonts w:ascii="Calibri" w:hAnsi="Calibri" w:cs="Calibri"/>
        </w:rPr>
        <w:t> </w:t>
      </w:r>
      <w:r w:rsidR="00113A30" w:rsidRPr="002A2888">
        <w:t>:</w:t>
      </w:r>
    </w:p>
    <w:p w14:paraId="11197C10" w14:textId="77777777" w:rsidR="002A2888" w:rsidRDefault="002A2888" w:rsidP="002A2888">
      <w:pPr>
        <w:pStyle w:val="CelluleTableau"/>
        <w:spacing w:line="240" w:lineRule="auto"/>
        <w:ind w:left="0" w:right="0"/>
      </w:pPr>
    </w:p>
    <w:p w14:paraId="7E92C429" w14:textId="77777777" w:rsidR="00ED3591" w:rsidRPr="002A2888" w:rsidRDefault="00ED3591" w:rsidP="002A2888">
      <w:pPr>
        <w:pStyle w:val="CelluleTableau"/>
        <w:spacing w:line="240" w:lineRule="auto"/>
        <w:ind w:left="0" w:right="0"/>
      </w:pPr>
      <w:proofErr w:type="spellStart"/>
      <w:r w:rsidRPr="002A2888">
        <w:t>Picto</w:t>
      </w:r>
      <w:proofErr w:type="spellEnd"/>
      <w:r w:rsidRPr="002A2888">
        <w:t xml:space="preserve"> Access permet aux personnes fragilisées et en situation de handicap d'accéder plus facilement aux lieux de travail et de formation, renforçant ainsi leur inclusion professionnelle.</w:t>
      </w:r>
    </w:p>
    <w:p w14:paraId="21066988" w14:textId="77777777" w:rsidR="00113A30" w:rsidRPr="002A2888" w:rsidRDefault="00113A30" w:rsidP="002A2888">
      <w:pPr>
        <w:pStyle w:val="CelluleTableau"/>
        <w:spacing w:line="240" w:lineRule="auto"/>
        <w:ind w:left="0" w:right="0"/>
      </w:pPr>
    </w:p>
    <w:p w14:paraId="0E0B3E62" w14:textId="77777777" w:rsidR="00113A30" w:rsidRPr="002A2888" w:rsidRDefault="00113A30" w:rsidP="002A2888">
      <w:pPr>
        <w:pStyle w:val="CelluleTableau"/>
        <w:spacing w:line="240" w:lineRule="auto"/>
        <w:ind w:left="0" w:right="0"/>
        <w:rPr>
          <w:rFonts w:eastAsia="Calibri" w:cs="Calibri"/>
        </w:rPr>
      </w:pPr>
    </w:p>
    <w:p w14:paraId="416FDA73" w14:textId="187FAAC3" w:rsidR="00ED3591" w:rsidRPr="002A2888" w:rsidRDefault="00ED3591" w:rsidP="002A2888">
      <w:pPr>
        <w:pStyle w:val="EnteteTableau"/>
        <w:numPr>
          <w:ilvl w:val="0"/>
          <w:numId w:val="0"/>
        </w:numPr>
        <w:spacing w:before="0" w:after="0"/>
        <w:rPr>
          <w:rFonts w:eastAsia="Calibri" w:cs="Calibri"/>
        </w:rPr>
      </w:pPr>
      <w:r w:rsidRPr="002A2888">
        <w:t>Renforcement des compétences transversales</w:t>
      </w:r>
      <w:r w:rsidR="00113A30" w:rsidRPr="002A2888">
        <w:rPr>
          <w:rFonts w:ascii="Calibri" w:hAnsi="Calibri" w:cs="Calibri"/>
        </w:rPr>
        <w:t> </w:t>
      </w:r>
      <w:r w:rsidR="00113A30" w:rsidRPr="002A2888">
        <w:t>:</w:t>
      </w:r>
    </w:p>
    <w:p w14:paraId="19B91B53" w14:textId="77777777" w:rsidR="002A2888" w:rsidRDefault="002A2888" w:rsidP="002A2888">
      <w:pPr>
        <w:pStyle w:val="CelluleTableau"/>
        <w:spacing w:line="240" w:lineRule="auto"/>
        <w:ind w:left="0" w:right="0"/>
      </w:pPr>
    </w:p>
    <w:p w14:paraId="7B1C3CC0" w14:textId="77777777" w:rsidR="00ED3591" w:rsidRPr="002A2888" w:rsidRDefault="00ED3591" w:rsidP="002A2888">
      <w:pPr>
        <w:pStyle w:val="CelluleTableau"/>
        <w:spacing w:line="240" w:lineRule="auto"/>
        <w:ind w:left="0" w:right="0"/>
      </w:pPr>
      <w:r w:rsidRPr="002A2888">
        <w:t xml:space="preserve">Les utilisateurs de </w:t>
      </w:r>
      <w:proofErr w:type="spellStart"/>
      <w:r w:rsidRPr="002A2888">
        <w:t>Picto</w:t>
      </w:r>
      <w:proofErr w:type="spellEnd"/>
      <w:r w:rsidRPr="002A2888">
        <w:t xml:space="preserve"> Access développent des compétences en autonomie et en navigation dans les espaces publics grâce aux informations détaillées fournies.</w:t>
      </w:r>
    </w:p>
    <w:p w14:paraId="74C6B92D" w14:textId="77777777" w:rsidR="00113A30" w:rsidRPr="002A2888" w:rsidRDefault="00113A30" w:rsidP="002A2888">
      <w:pPr>
        <w:pStyle w:val="CelluleTableau"/>
        <w:spacing w:line="240" w:lineRule="auto"/>
        <w:ind w:left="0" w:right="0"/>
      </w:pPr>
    </w:p>
    <w:p w14:paraId="74849E19" w14:textId="1705BBB7" w:rsidR="00ED3591" w:rsidRPr="002A2888" w:rsidRDefault="00ED3591" w:rsidP="002A2888">
      <w:pPr>
        <w:pStyle w:val="CelluleTableau"/>
        <w:spacing w:line="240" w:lineRule="auto"/>
        <w:ind w:left="0" w:right="0"/>
        <w:rPr>
          <w:rFonts w:eastAsia="Calibri" w:cs="Calibri"/>
        </w:rPr>
      </w:pPr>
    </w:p>
    <w:p w14:paraId="3161A94F" w14:textId="411B9C9B" w:rsidR="00ED3591" w:rsidRPr="002A2888" w:rsidRDefault="00ED3591" w:rsidP="002A2888">
      <w:pPr>
        <w:pStyle w:val="EnteteTableau"/>
        <w:numPr>
          <w:ilvl w:val="0"/>
          <w:numId w:val="0"/>
        </w:numPr>
        <w:spacing w:before="0" w:after="0"/>
        <w:rPr>
          <w:rFonts w:eastAsia="Calibri" w:cs="Calibri"/>
        </w:rPr>
      </w:pPr>
      <w:r w:rsidRPr="002A2888">
        <w:t>Augmentation de la mobilité et de l'accessibilité</w:t>
      </w:r>
      <w:r w:rsidR="00113A30" w:rsidRPr="002A2888">
        <w:rPr>
          <w:rFonts w:ascii="Calibri" w:hAnsi="Calibri" w:cs="Calibri"/>
        </w:rPr>
        <w:t> </w:t>
      </w:r>
      <w:r w:rsidR="00113A30" w:rsidRPr="002A2888">
        <w:t>:</w:t>
      </w:r>
    </w:p>
    <w:p w14:paraId="0A1330BB" w14:textId="77777777" w:rsidR="002A2888" w:rsidRDefault="002A2888" w:rsidP="002A2888">
      <w:pPr>
        <w:pStyle w:val="CelluleTableau"/>
        <w:spacing w:line="240" w:lineRule="auto"/>
        <w:ind w:left="0" w:right="0"/>
      </w:pPr>
    </w:p>
    <w:p w14:paraId="0AA8FCE4" w14:textId="77777777" w:rsidR="00ED3591" w:rsidRPr="002A2888" w:rsidRDefault="00ED3591" w:rsidP="002A2888">
      <w:pPr>
        <w:pStyle w:val="CelluleTableau"/>
        <w:spacing w:line="240" w:lineRule="auto"/>
        <w:ind w:left="0" w:right="0"/>
      </w:pPr>
      <w:r w:rsidRPr="002A2888">
        <w:t xml:space="preserve">La solution </w:t>
      </w:r>
      <w:proofErr w:type="spellStart"/>
      <w:r w:rsidRPr="002A2888">
        <w:t>Picto</w:t>
      </w:r>
      <w:proofErr w:type="spellEnd"/>
      <w:r w:rsidRPr="002A2888">
        <w:t xml:space="preserve"> Access contribue à une meilleure accessibilité physique des lieux publics et privés, facilitant ainsi l'inclusion des personnes en situation de handicap dans la vie quotidienne et professionnelle.</w:t>
      </w:r>
    </w:p>
    <w:p w14:paraId="6BC18D9E" w14:textId="77777777" w:rsidR="00113A30" w:rsidRPr="002A2888" w:rsidRDefault="00113A30" w:rsidP="002A2888">
      <w:pPr>
        <w:pStyle w:val="CelluleTableau"/>
        <w:spacing w:line="240" w:lineRule="auto"/>
        <w:ind w:left="0" w:right="0"/>
        <w:rPr>
          <w:rFonts w:eastAsia="Calibri" w:cs="Calibri"/>
        </w:rPr>
      </w:pPr>
    </w:p>
    <w:p w14:paraId="7B62E852" w14:textId="0141A59A" w:rsidR="002A2888" w:rsidRDefault="002A2888">
      <w:pPr>
        <w:spacing w:after="160" w:line="259" w:lineRule="auto"/>
        <w:ind w:left="0" w:firstLine="0"/>
        <w:rPr>
          <w:rFonts w:eastAsia="Calibri" w:cs="Calibri"/>
          <w:b/>
        </w:rPr>
      </w:pPr>
      <w:r>
        <w:rPr>
          <w:rFonts w:eastAsia="Calibri" w:cs="Calibri"/>
        </w:rPr>
        <w:br w:type="page"/>
      </w:r>
    </w:p>
    <w:p w14:paraId="3D94A1F6" w14:textId="77777777" w:rsidR="00ED3591" w:rsidRPr="002A2888" w:rsidRDefault="00ED3591" w:rsidP="002A2888">
      <w:pPr>
        <w:pStyle w:val="Titre1"/>
        <w:numPr>
          <w:ilvl w:val="0"/>
          <w:numId w:val="0"/>
        </w:numPr>
        <w:spacing w:before="0" w:after="0" w:line="240" w:lineRule="auto"/>
        <w:rPr>
          <w:szCs w:val="24"/>
        </w:rPr>
      </w:pPr>
      <w:r w:rsidRPr="002A2888">
        <w:rPr>
          <w:szCs w:val="24"/>
        </w:rPr>
        <w:lastRenderedPageBreak/>
        <w:t>PRODUITS / RÉSULTATS :</w:t>
      </w:r>
    </w:p>
    <w:p w14:paraId="1D412BF6" w14:textId="77777777" w:rsidR="002A2888" w:rsidRDefault="002A2888" w:rsidP="002A2888">
      <w:pPr>
        <w:pStyle w:val="EnteteTableau"/>
        <w:numPr>
          <w:ilvl w:val="0"/>
          <w:numId w:val="0"/>
        </w:numPr>
        <w:spacing w:before="0" w:after="0"/>
      </w:pPr>
    </w:p>
    <w:p w14:paraId="68402E6B" w14:textId="77777777" w:rsidR="002A2888" w:rsidRDefault="002A2888" w:rsidP="002A2888">
      <w:pPr>
        <w:pStyle w:val="EnteteTableau"/>
        <w:numPr>
          <w:ilvl w:val="0"/>
          <w:numId w:val="0"/>
        </w:numPr>
        <w:spacing w:before="0" w:after="0"/>
      </w:pPr>
    </w:p>
    <w:p w14:paraId="12DD4FE9" w14:textId="749CF4EC" w:rsidR="00ED3591" w:rsidRPr="002A2888" w:rsidRDefault="00ED3591" w:rsidP="002A2888">
      <w:pPr>
        <w:pStyle w:val="EnteteTableau"/>
        <w:numPr>
          <w:ilvl w:val="0"/>
          <w:numId w:val="0"/>
        </w:numPr>
        <w:spacing w:before="0" w:after="0"/>
        <w:rPr>
          <w:rFonts w:eastAsia="Calibri" w:cs="Calibri"/>
        </w:rPr>
      </w:pPr>
      <w:r w:rsidRPr="002A2888">
        <w:t>Type de produit</w:t>
      </w:r>
      <w:r w:rsidR="00113A30" w:rsidRPr="002A2888">
        <w:rPr>
          <w:rFonts w:ascii="Calibri" w:hAnsi="Calibri" w:cs="Calibri"/>
        </w:rPr>
        <w:t> </w:t>
      </w:r>
      <w:r w:rsidR="00113A30" w:rsidRPr="002A2888">
        <w:t>:</w:t>
      </w:r>
    </w:p>
    <w:p w14:paraId="552CF6F7" w14:textId="77777777" w:rsidR="002A2888" w:rsidRDefault="002A2888" w:rsidP="002A2888">
      <w:pPr>
        <w:pStyle w:val="CelluleTableau"/>
        <w:spacing w:line="240" w:lineRule="auto"/>
        <w:ind w:left="0" w:right="0"/>
      </w:pPr>
    </w:p>
    <w:p w14:paraId="4F4F4C06" w14:textId="77777777" w:rsidR="00ED3591" w:rsidRPr="002A2888" w:rsidRDefault="00ED3591" w:rsidP="002A2888">
      <w:pPr>
        <w:pStyle w:val="CelluleTableau"/>
        <w:spacing w:line="240" w:lineRule="auto"/>
        <w:ind w:left="0" w:right="0"/>
      </w:pPr>
      <w:r w:rsidRPr="002A2888">
        <w:t>Solution numérique, diagnostics d’accessibilité, signalétique, ressources en ligne.</w:t>
      </w:r>
    </w:p>
    <w:p w14:paraId="446CEC35" w14:textId="77777777" w:rsidR="00113A30" w:rsidRPr="002A2888" w:rsidRDefault="00113A30" w:rsidP="002A2888">
      <w:pPr>
        <w:pStyle w:val="CelluleTableau"/>
        <w:spacing w:line="240" w:lineRule="auto"/>
        <w:ind w:left="0" w:right="0"/>
      </w:pPr>
    </w:p>
    <w:p w14:paraId="21AE8B71" w14:textId="77777777" w:rsidR="00113A30" w:rsidRPr="002A2888" w:rsidRDefault="00113A30" w:rsidP="002A2888">
      <w:pPr>
        <w:pStyle w:val="CelluleTableau"/>
        <w:spacing w:line="240" w:lineRule="auto"/>
        <w:ind w:left="0" w:right="0"/>
        <w:rPr>
          <w:rFonts w:eastAsia="Calibri" w:cs="Calibri"/>
        </w:rPr>
      </w:pPr>
    </w:p>
    <w:p w14:paraId="30246CBB" w14:textId="60755460" w:rsidR="00ED3591" w:rsidRPr="002A2888" w:rsidRDefault="00ED3591" w:rsidP="002A2888">
      <w:pPr>
        <w:pStyle w:val="EnteteTableau"/>
        <w:numPr>
          <w:ilvl w:val="0"/>
          <w:numId w:val="0"/>
        </w:numPr>
        <w:spacing w:before="0" w:after="0"/>
        <w:rPr>
          <w:rFonts w:eastAsia="Calibri" w:cs="Calibri"/>
        </w:rPr>
      </w:pPr>
      <w:r w:rsidRPr="002A2888">
        <w:t>Brève description</w:t>
      </w:r>
      <w:r w:rsidR="00113A30" w:rsidRPr="002A2888">
        <w:rPr>
          <w:rFonts w:ascii="Calibri" w:hAnsi="Calibri" w:cs="Calibri"/>
        </w:rPr>
        <w:t> </w:t>
      </w:r>
      <w:r w:rsidR="00113A30" w:rsidRPr="002A2888">
        <w:t>:</w:t>
      </w:r>
    </w:p>
    <w:p w14:paraId="390B557F" w14:textId="77777777" w:rsidR="002A2888" w:rsidRDefault="002A2888" w:rsidP="002A2888">
      <w:pPr>
        <w:pStyle w:val="CelluleTableau"/>
        <w:spacing w:line="240" w:lineRule="auto"/>
        <w:ind w:left="0" w:right="0"/>
      </w:pPr>
    </w:p>
    <w:p w14:paraId="006C00A7" w14:textId="77777777" w:rsidR="00ED3591" w:rsidRPr="002A2888" w:rsidRDefault="00ED3591" w:rsidP="002A2888">
      <w:pPr>
        <w:pStyle w:val="CelluleTableau"/>
        <w:spacing w:line="240" w:lineRule="auto"/>
        <w:ind w:left="0" w:right="0"/>
      </w:pPr>
      <w:proofErr w:type="spellStart"/>
      <w:r w:rsidRPr="002A2888">
        <w:t>Picto</w:t>
      </w:r>
      <w:proofErr w:type="spellEnd"/>
      <w:r w:rsidRPr="002A2888">
        <w:t xml:space="preserve"> Access a diagnostiqué plus de 60 000 lieux et ses outils ont été adoptés par des centaines d'acteurs publics et privés. Les pictogrammes codés par couleur sont visibles dans les établissements et sur les plateformes numériques pour faciliter l'accès des usagers à des informations claires et immédiates sur l'accessibilité des lieux.</w:t>
      </w:r>
    </w:p>
    <w:p w14:paraId="1032CAD5" w14:textId="77777777" w:rsidR="00113A30" w:rsidRPr="002A2888" w:rsidRDefault="00113A30" w:rsidP="002A2888">
      <w:pPr>
        <w:pStyle w:val="CelluleTableau"/>
        <w:spacing w:line="240" w:lineRule="auto"/>
        <w:ind w:left="0" w:right="0"/>
      </w:pPr>
    </w:p>
    <w:p w14:paraId="079C0CB2" w14:textId="77777777" w:rsidR="00113A30" w:rsidRPr="002A2888" w:rsidRDefault="00113A30" w:rsidP="002A2888">
      <w:pPr>
        <w:pStyle w:val="CelluleTableau"/>
        <w:spacing w:line="240" w:lineRule="auto"/>
        <w:ind w:left="0" w:right="0"/>
        <w:rPr>
          <w:rFonts w:eastAsia="Calibri" w:cs="Calibri"/>
        </w:rPr>
      </w:pPr>
    </w:p>
    <w:p w14:paraId="4A61BB6B" w14:textId="77777777" w:rsidR="00ED3591" w:rsidRPr="002A2888" w:rsidRDefault="00ED3591" w:rsidP="002A2888">
      <w:pPr>
        <w:pStyle w:val="Titre1"/>
        <w:numPr>
          <w:ilvl w:val="0"/>
          <w:numId w:val="0"/>
        </w:numPr>
        <w:spacing w:before="0" w:after="0" w:line="240" w:lineRule="auto"/>
        <w:rPr>
          <w:szCs w:val="24"/>
        </w:rPr>
      </w:pPr>
      <w:r w:rsidRPr="002A2888">
        <w:rPr>
          <w:szCs w:val="24"/>
        </w:rPr>
        <w:t>IMPACT ET TRANSFÉRABILITÉ :</w:t>
      </w:r>
    </w:p>
    <w:p w14:paraId="02DBB4F8" w14:textId="77777777" w:rsidR="002A2888" w:rsidRDefault="002A2888" w:rsidP="002A2888">
      <w:pPr>
        <w:pStyle w:val="EnteteTableau"/>
        <w:numPr>
          <w:ilvl w:val="0"/>
          <w:numId w:val="0"/>
        </w:numPr>
        <w:spacing w:before="0" w:after="0"/>
      </w:pPr>
    </w:p>
    <w:p w14:paraId="50451887" w14:textId="75CD428B" w:rsidR="00ED3591" w:rsidRPr="002A2888" w:rsidRDefault="00ED3591" w:rsidP="002A2888">
      <w:pPr>
        <w:pStyle w:val="EnteteTableau"/>
        <w:numPr>
          <w:ilvl w:val="0"/>
          <w:numId w:val="0"/>
        </w:numPr>
        <w:spacing w:before="0" w:after="0"/>
        <w:rPr>
          <w:rFonts w:eastAsia="Calibri" w:cs="Calibri"/>
        </w:rPr>
      </w:pPr>
      <w:bookmarkStart w:id="0" w:name="_GoBack"/>
      <w:bookmarkEnd w:id="0"/>
      <w:r w:rsidRPr="002A2888">
        <w:t>Impact sur les groupes cibles</w:t>
      </w:r>
      <w:r w:rsidR="00113A30" w:rsidRPr="002A2888">
        <w:rPr>
          <w:rFonts w:ascii="Calibri" w:hAnsi="Calibri" w:cs="Calibri"/>
        </w:rPr>
        <w:t> </w:t>
      </w:r>
      <w:r w:rsidR="00113A30" w:rsidRPr="002A2888">
        <w:t>:</w:t>
      </w:r>
    </w:p>
    <w:p w14:paraId="2069DB9D" w14:textId="77777777" w:rsidR="002A2888" w:rsidRDefault="002A2888" w:rsidP="002A2888">
      <w:pPr>
        <w:pStyle w:val="CelluleTableau"/>
        <w:spacing w:line="240" w:lineRule="auto"/>
        <w:ind w:left="0" w:right="0"/>
      </w:pPr>
    </w:p>
    <w:p w14:paraId="05CAE5FD" w14:textId="77777777" w:rsidR="00ED3591" w:rsidRPr="002A2888" w:rsidRDefault="00ED3591" w:rsidP="002A2888">
      <w:pPr>
        <w:pStyle w:val="CelluleTableau"/>
        <w:spacing w:line="240" w:lineRule="auto"/>
        <w:ind w:left="0" w:right="0"/>
      </w:pPr>
      <w:proofErr w:type="spellStart"/>
      <w:r w:rsidRPr="002A2888">
        <w:t>Picto</w:t>
      </w:r>
      <w:proofErr w:type="spellEnd"/>
      <w:r w:rsidRPr="002A2888">
        <w:t xml:space="preserve"> Access a permis d'améliorer l'intégration des personnes en situation de handicap en leur fournissant des informations fiables sur l'accessibilité, ce qui a renforcé leur mobilité et leur inclusion sociale et professionnelle.</w:t>
      </w:r>
    </w:p>
    <w:p w14:paraId="5E7ED7EA" w14:textId="77777777" w:rsidR="00113A30" w:rsidRPr="002A2888" w:rsidRDefault="00113A30" w:rsidP="002A2888">
      <w:pPr>
        <w:pStyle w:val="CelluleTableau"/>
        <w:spacing w:line="240" w:lineRule="auto"/>
        <w:ind w:left="0" w:right="0"/>
      </w:pPr>
    </w:p>
    <w:p w14:paraId="432E0AF1" w14:textId="77777777" w:rsidR="00113A30" w:rsidRPr="002A2888" w:rsidRDefault="00113A30" w:rsidP="002A2888">
      <w:pPr>
        <w:pStyle w:val="CelluleTableau"/>
        <w:spacing w:line="240" w:lineRule="auto"/>
        <w:ind w:left="0" w:right="0"/>
        <w:rPr>
          <w:rFonts w:eastAsia="Calibri" w:cs="Calibri"/>
        </w:rPr>
      </w:pPr>
    </w:p>
    <w:p w14:paraId="53E5C073" w14:textId="73E379D1" w:rsidR="00ED3591" w:rsidRPr="002A2888" w:rsidRDefault="00ED3591" w:rsidP="002A2888">
      <w:pPr>
        <w:pStyle w:val="EnteteTableau"/>
        <w:numPr>
          <w:ilvl w:val="0"/>
          <w:numId w:val="0"/>
        </w:numPr>
        <w:spacing w:before="0" w:after="0"/>
        <w:rPr>
          <w:rFonts w:eastAsia="Calibri" w:cs="Calibri"/>
        </w:rPr>
      </w:pPr>
      <w:r w:rsidRPr="002A2888">
        <w:t>Brève description</w:t>
      </w:r>
      <w:r w:rsidR="00113A30" w:rsidRPr="002A2888">
        <w:rPr>
          <w:rFonts w:ascii="Calibri" w:hAnsi="Calibri" w:cs="Calibri"/>
        </w:rPr>
        <w:t> </w:t>
      </w:r>
      <w:r w:rsidR="00113A30" w:rsidRPr="002A2888">
        <w:t>:</w:t>
      </w:r>
    </w:p>
    <w:p w14:paraId="181ADB92" w14:textId="77777777" w:rsidR="002A2888" w:rsidRDefault="002A2888" w:rsidP="002A2888">
      <w:pPr>
        <w:pStyle w:val="CelluleTableau"/>
        <w:spacing w:line="240" w:lineRule="auto"/>
        <w:ind w:left="0" w:right="0"/>
      </w:pPr>
    </w:p>
    <w:p w14:paraId="3014D5B1" w14:textId="1D1869B7" w:rsidR="00ED3591" w:rsidRPr="002A2888" w:rsidRDefault="00ED3591" w:rsidP="002A2888">
      <w:pPr>
        <w:pStyle w:val="CelluleTableau"/>
        <w:spacing w:line="240" w:lineRule="auto"/>
        <w:ind w:left="0" w:right="0"/>
        <w:rPr>
          <w:rFonts w:eastAsia="Calibri" w:cs="Calibri"/>
        </w:rPr>
      </w:pPr>
      <w:r w:rsidRPr="002A2888">
        <w:t xml:space="preserve">La méthodologie flexible de </w:t>
      </w:r>
      <w:proofErr w:type="spellStart"/>
      <w:r w:rsidRPr="002A2888">
        <w:t>Picto</w:t>
      </w:r>
      <w:proofErr w:type="spellEnd"/>
      <w:r w:rsidRPr="002A2888">
        <w:t xml:space="preserve"> Access permet une adaptation dans différents contextes et régions. Ses pictogrammes universels sont faciles à comprendre et à utiliser dans une variété d'environnements, ce qui contribue à améliorer l'accessibilité globale.</w:t>
      </w:r>
    </w:p>
    <w:sectPr w:rsidR="00ED3591" w:rsidRPr="002A2888" w:rsidSect="001C06E4">
      <w:headerReference w:type="default" r:id="rId10"/>
      <w:footerReference w:type="default" r:id="rId11"/>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249C0" w14:textId="77777777" w:rsidR="00733DC2" w:rsidRDefault="00733DC2" w:rsidP="008D2C54">
      <w:r>
        <w:separator/>
      </w:r>
    </w:p>
  </w:endnote>
  <w:endnote w:type="continuationSeparator" w:id="0">
    <w:p w14:paraId="73F62B32" w14:textId="77777777" w:rsidR="00733DC2" w:rsidRDefault="00733DC2"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29BB3F5A-0731-4134-A288-6FF04752D8F9}"/>
    <w:embedBold r:id="rId2" w:fontKey="{8C5D761E-96E1-4783-A396-8A496E615249}"/>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3" w:subsetted="1" w:fontKey="{038ABF5F-F68F-4767-B98F-9D462A8A6628}"/>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108E9FD5" w14:textId="77777777" w:rsidR="001C06E4" w:rsidRDefault="001C06E4">
        <w:pPr>
          <w:pStyle w:val="Pieddepage"/>
          <w:jc w:val="right"/>
        </w:pPr>
        <w:r>
          <w:fldChar w:fldCharType="begin"/>
        </w:r>
        <w:r>
          <w:instrText>PAGE   \* MERGEFORMAT</w:instrText>
        </w:r>
        <w:r>
          <w:fldChar w:fldCharType="separate"/>
        </w:r>
        <w:r w:rsidR="002A2888">
          <w:rPr>
            <w:noProof/>
          </w:rPr>
          <w:t>4</w:t>
        </w:r>
        <w:r>
          <w:fldChar w:fldCharType="end"/>
        </w:r>
      </w:p>
    </w:sdtContent>
  </w:sdt>
  <w:p w14:paraId="4A965EC8"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3EC9E" w14:textId="77777777" w:rsidR="00733DC2" w:rsidRDefault="00733DC2" w:rsidP="008D2C54">
      <w:r>
        <w:separator/>
      </w:r>
    </w:p>
  </w:footnote>
  <w:footnote w:type="continuationSeparator" w:id="0">
    <w:p w14:paraId="12A50038" w14:textId="77777777" w:rsidR="00733DC2" w:rsidRDefault="00733DC2"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97186" w14:textId="77777777" w:rsidR="008D2C54" w:rsidRDefault="00F8340D" w:rsidP="002A2888">
    <w:pPr>
      <w:pStyle w:val="En-tte"/>
      <w:ind w:hanging="197"/>
    </w:pPr>
    <w:r>
      <w:rPr>
        <w:noProof/>
        <w:lang w:val="fr-BE" w:eastAsia="fr-BE"/>
      </w:rPr>
      <w:drawing>
        <wp:anchor distT="0" distB="0" distL="114300" distR="114300" simplePos="0" relativeHeight="251659264" behindDoc="0" locked="0" layoutInCell="1" allowOverlap="1" wp14:anchorId="2BD86491" wp14:editId="2796D15D">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5FEAA996" wp14:editId="4878C04D">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B6A617D"/>
    <w:multiLevelType w:val="hybridMultilevel"/>
    <w:tmpl w:val="9A3093FE"/>
    <w:lvl w:ilvl="0" w:tplc="080C0001">
      <w:start w:val="1"/>
      <w:numFmt w:val="bullet"/>
      <w:lvlText w:val=""/>
      <w:lvlJc w:val="left"/>
      <w:pPr>
        <w:ind w:left="14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1C869C">
      <w:start w:val="1"/>
      <w:numFmt w:val="lowerLetter"/>
      <w:lvlText w:val="%2"/>
      <w:lvlJc w:val="left"/>
      <w:pPr>
        <w:ind w:left="2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C42072">
      <w:start w:val="1"/>
      <w:numFmt w:val="lowerRoman"/>
      <w:lvlText w:val="%3"/>
      <w:lvlJc w:val="left"/>
      <w:pPr>
        <w:ind w:left="2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507098">
      <w:start w:val="1"/>
      <w:numFmt w:val="decimal"/>
      <w:lvlText w:val="%4"/>
      <w:lvlJc w:val="left"/>
      <w:pPr>
        <w:ind w:left="3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B8D634">
      <w:start w:val="1"/>
      <w:numFmt w:val="lowerLetter"/>
      <w:lvlText w:val="%5"/>
      <w:lvlJc w:val="left"/>
      <w:pPr>
        <w:ind w:left="4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6028A2">
      <w:start w:val="1"/>
      <w:numFmt w:val="lowerRoman"/>
      <w:lvlText w:val="%6"/>
      <w:lvlJc w:val="left"/>
      <w:pPr>
        <w:ind w:left="5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2C527A">
      <w:start w:val="1"/>
      <w:numFmt w:val="decimal"/>
      <w:lvlText w:val="%7"/>
      <w:lvlJc w:val="left"/>
      <w:pPr>
        <w:ind w:left="58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FAE7D6">
      <w:start w:val="1"/>
      <w:numFmt w:val="lowerLetter"/>
      <w:lvlText w:val="%8"/>
      <w:lvlJc w:val="left"/>
      <w:pPr>
        <w:ind w:left="65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FC3E08">
      <w:start w:val="1"/>
      <w:numFmt w:val="lowerRoman"/>
      <w:lvlText w:val="%9"/>
      <w:lvlJc w:val="left"/>
      <w:pPr>
        <w:ind w:left="72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9"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0673FEA"/>
    <w:multiLevelType w:val="hybridMultilevel"/>
    <w:tmpl w:val="8F4A73D4"/>
    <w:lvl w:ilvl="0" w:tplc="261C559C">
      <w:start w:val="1"/>
      <w:numFmt w:val="decimal"/>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1C869C">
      <w:start w:val="1"/>
      <w:numFmt w:val="lowerLetter"/>
      <w:lvlText w:val="%2"/>
      <w:lvlJc w:val="left"/>
      <w:pPr>
        <w:ind w:left="2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C42072">
      <w:start w:val="1"/>
      <w:numFmt w:val="lowerRoman"/>
      <w:lvlText w:val="%3"/>
      <w:lvlJc w:val="left"/>
      <w:pPr>
        <w:ind w:left="2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507098">
      <w:start w:val="1"/>
      <w:numFmt w:val="decimal"/>
      <w:lvlText w:val="%4"/>
      <w:lvlJc w:val="left"/>
      <w:pPr>
        <w:ind w:left="3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B8D634">
      <w:start w:val="1"/>
      <w:numFmt w:val="lowerLetter"/>
      <w:lvlText w:val="%5"/>
      <w:lvlJc w:val="left"/>
      <w:pPr>
        <w:ind w:left="4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6028A2">
      <w:start w:val="1"/>
      <w:numFmt w:val="lowerRoman"/>
      <w:lvlText w:val="%6"/>
      <w:lvlJc w:val="left"/>
      <w:pPr>
        <w:ind w:left="5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2C527A">
      <w:start w:val="1"/>
      <w:numFmt w:val="decimal"/>
      <w:lvlText w:val="%7"/>
      <w:lvlJc w:val="left"/>
      <w:pPr>
        <w:ind w:left="58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FAE7D6">
      <w:start w:val="1"/>
      <w:numFmt w:val="lowerLetter"/>
      <w:lvlText w:val="%8"/>
      <w:lvlJc w:val="left"/>
      <w:pPr>
        <w:ind w:left="65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FC3E08">
      <w:start w:val="1"/>
      <w:numFmt w:val="lowerRoman"/>
      <w:lvlText w:val="%9"/>
      <w:lvlJc w:val="left"/>
      <w:pPr>
        <w:ind w:left="72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F550E3"/>
    <w:multiLevelType w:val="hybridMultilevel"/>
    <w:tmpl w:val="999427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2087F52"/>
    <w:multiLevelType w:val="hybridMultilevel"/>
    <w:tmpl w:val="A41C57A4"/>
    <w:lvl w:ilvl="0" w:tplc="080C0001">
      <w:start w:val="1"/>
      <w:numFmt w:val="bullet"/>
      <w:lvlText w:val=""/>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27"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3"/>
  </w:num>
  <w:num w:numId="2">
    <w:abstractNumId w:val="27"/>
  </w:num>
  <w:num w:numId="3">
    <w:abstractNumId w:val="12"/>
  </w:num>
  <w:num w:numId="4">
    <w:abstractNumId w:val="28"/>
  </w:num>
  <w:num w:numId="5">
    <w:abstractNumId w:val="2"/>
  </w:num>
  <w:num w:numId="6">
    <w:abstractNumId w:val="3"/>
  </w:num>
  <w:num w:numId="7">
    <w:abstractNumId w:val="23"/>
  </w:num>
  <w:num w:numId="8">
    <w:abstractNumId w:val="29"/>
  </w:num>
  <w:num w:numId="9">
    <w:abstractNumId w:val="7"/>
  </w:num>
  <w:num w:numId="10">
    <w:abstractNumId w:val="19"/>
  </w:num>
  <w:num w:numId="11">
    <w:abstractNumId w:val="22"/>
  </w:num>
  <w:num w:numId="12">
    <w:abstractNumId w:val="8"/>
  </w:num>
  <w:num w:numId="13">
    <w:abstractNumId w:val="1"/>
  </w:num>
  <w:num w:numId="14">
    <w:abstractNumId w:val="30"/>
  </w:num>
  <w:num w:numId="15">
    <w:abstractNumId w:val="11"/>
  </w:num>
  <w:num w:numId="16">
    <w:abstractNumId w:val="0"/>
  </w:num>
  <w:num w:numId="17">
    <w:abstractNumId w:val="17"/>
  </w:num>
  <w:num w:numId="18">
    <w:abstractNumId w:val="25"/>
  </w:num>
  <w:num w:numId="19">
    <w:abstractNumId w:val="9"/>
  </w:num>
  <w:num w:numId="20">
    <w:abstractNumId w:val="18"/>
  </w:num>
  <w:num w:numId="21">
    <w:abstractNumId w:val="5"/>
  </w:num>
  <w:num w:numId="22">
    <w:abstractNumId w:val="15"/>
  </w:num>
  <w:num w:numId="23">
    <w:abstractNumId w:val="21"/>
  </w:num>
  <w:num w:numId="24">
    <w:abstractNumId w:val="10"/>
  </w:num>
  <w:num w:numId="25">
    <w:abstractNumId w:val="16"/>
  </w:num>
  <w:num w:numId="26">
    <w:abstractNumId w:val="4"/>
  </w:num>
  <w:num w:numId="27">
    <w:abstractNumId w:val="14"/>
  </w:num>
  <w:num w:numId="28">
    <w:abstractNumId w:val="20"/>
  </w:num>
  <w:num w:numId="29">
    <w:abstractNumId w:val="6"/>
  </w:num>
  <w:num w:numId="30">
    <w:abstractNumId w:val="2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91"/>
    <w:rsid w:val="000F5BF9"/>
    <w:rsid w:val="00113A30"/>
    <w:rsid w:val="00125850"/>
    <w:rsid w:val="00161768"/>
    <w:rsid w:val="001C06E4"/>
    <w:rsid w:val="002052FF"/>
    <w:rsid w:val="00221ED7"/>
    <w:rsid w:val="00295C02"/>
    <w:rsid w:val="002A2888"/>
    <w:rsid w:val="002E1F33"/>
    <w:rsid w:val="002F109E"/>
    <w:rsid w:val="003058F9"/>
    <w:rsid w:val="00344B35"/>
    <w:rsid w:val="00357120"/>
    <w:rsid w:val="003748C3"/>
    <w:rsid w:val="003C5E8C"/>
    <w:rsid w:val="003E67EF"/>
    <w:rsid w:val="00435290"/>
    <w:rsid w:val="0043677B"/>
    <w:rsid w:val="0049728F"/>
    <w:rsid w:val="004B742E"/>
    <w:rsid w:val="004C45B6"/>
    <w:rsid w:val="004F69D1"/>
    <w:rsid w:val="005232EE"/>
    <w:rsid w:val="00533A90"/>
    <w:rsid w:val="005B47C7"/>
    <w:rsid w:val="00603D57"/>
    <w:rsid w:val="006C2583"/>
    <w:rsid w:val="006C5B7A"/>
    <w:rsid w:val="006D53CC"/>
    <w:rsid w:val="00714AE0"/>
    <w:rsid w:val="00733DC2"/>
    <w:rsid w:val="00744E55"/>
    <w:rsid w:val="00777167"/>
    <w:rsid w:val="007A1FBB"/>
    <w:rsid w:val="007D6C46"/>
    <w:rsid w:val="008657EB"/>
    <w:rsid w:val="00875269"/>
    <w:rsid w:val="008B2213"/>
    <w:rsid w:val="008D2C54"/>
    <w:rsid w:val="008D7634"/>
    <w:rsid w:val="00967BB0"/>
    <w:rsid w:val="009E18D8"/>
    <w:rsid w:val="00A26B77"/>
    <w:rsid w:val="00A768BD"/>
    <w:rsid w:val="00AE07A3"/>
    <w:rsid w:val="00AF5BF2"/>
    <w:rsid w:val="00B93ED7"/>
    <w:rsid w:val="00B97622"/>
    <w:rsid w:val="00C13CAA"/>
    <w:rsid w:val="00C72994"/>
    <w:rsid w:val="00C976F9"/>
    <w:rsid w:val="00CA62C8"/>
    <w:rsid w:val="00CE6F36"/>
    <w:rsid w:val="00D3319D"/>
    <w:rsid w:val="00D41596"/>
    <w:rsid w:val="00D82191"/>
    <w:rsid w:val="00D93F3C"/>
    <w:rsid w:val="00E936A3"/>
    <w:rsid w:val="00EB7752"/>
    <w:rsid w:val="00ED1093"/>
    <w:rsid w:val="00ED3591"/>
    <w:rsid w:val="00ED3DDF"/>
    <w:rsid w:val="00F07106"/>
    <w:rsid w:val="00F430B8"/>
    <w:rsid w:val="00F47743"/>
    <w:rsid w:val="00F75FD6"/>
    <w:rsid w:val="00F8029D"/>
    <w:rsid w:val="00F8340D"/>
    <w:rsid w:val="00FB0E3D"/>
    <w:rsid w:val="00FC50B5"/>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14971"/>
  <w15:chartTrackingRefBased/>
  <w15:docId w15:val="{15F6E976-AF5C-42AD-A64D-75138027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19D"/>
    <w:pPr>
      <w:spacing w:after="132" w:line="464" w:lineRule="auto"/>
      <w:ind w:left="197" w:firstLine="766"/>
    </w:pPr>
    <w:rPr>
      <w:rFonts w:ascii="Luciole" w:eastAsia="Arial" w:hAnsi="Luciole" w:cs="Arial"/>
      <w:color w:val="000000"/>
      <w:kern w:val="2"/>
      <w:sz w:val="24"/>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eastAsiaTheme="majorEastAsia" w:cstheme="majorBidi"/>
      <w:b/>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eastAsiaTheme="majorEastAsia" w:cstheme="majorBidi"/>
      <w:b/>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b/>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eastAsiaTheme="majorEastAsia" w:cstheme="majorBidi"/>
      <w:b/>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ED3591"/>
    <w:pPr>
      <w:spacing w:after="0" w:line="259" w:lineRule="auto"/>
      <w:ind w:left="708" w:right="709" w:firstLine="0"/>
    </w:pPr>
    <w:rPr>
      <w:rFonts w:eastAsia="Times New Roman" w:cs="Times New Roman"/>
    </w:rPr>
  </w:style>
  <w:style w:type="character" w:customStyle="1" w:styleId="CelluleTableauCar">
    <w:name w:val="Cellule_Tableau Car"/>
    <w:basedOn w:val="Policepardfaut"/>
    <w:link w:val="CelluleTableau"/>
    <w:rsid w:val="00ED3591"/>
    <w:rPr>
      <w:rFonts w:ascii="Luciole" w:eastAsia="Times New Roman" w:hAnsi="Luciole"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ctoacces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Alain\Documents\0%20-%200%20-%20Asso%20DysAccess\e-handi%20tour%202024\Bonnes%20pratiques%20France\daniel@pictoaccess.fr"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in\Documents\0%20-%200%20-%20Asso%20DysAccess\e-handi%20tour%202024\Bonnes%20pratiques%20France\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6FE9E-5369-4DAD-B371-CE1973E1E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4</TotalTime>
  <Pages>4</Pages>
  <Words>582</Words>
  <Characters>3205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3</cp:revision>
  <cp:lastPrinted>2024-12-23T11:09:00Z</cp:lastPrinted>
  <dcterms:created xsi:type="dcterms:W3CDTF">2024-12-30T10:11:00Z</dcterms:created>
  <dcterms:modified xsi:type="dcterms:W3CDTF">2024-12-30T19:06:00Z</dcterms:modified>
</cp:coreProperties>
</file>