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48A17" w14:textId="77777777" w:rsidR="00590A69" w:rsidRPr="00590A69" w:rsidRDefault="00590A69" w:rsidP="00590A69">
      <w:pPr>
        <w:pStyle w:val="TitreDocument"/>
        <w:spacing w:before="0" w:after="0" w:line="240" w:lineRule="auto"/>
        <w:ind w:left="0"/>
        <w:rPr>
          <w:rFonts w:eastAsia="Calibri" w:cs="Calibri"/>
          <w:b/>
          <w:sz w:val="24"/>
          <w:szCs w:val="24"/>
        </w:rPr>
      </w:pPr>
      <w:r w:rsidRPr="00590A69">
        <w:rPr>
          <w:szCs w:val="24"/>
        </w:rPr>
        <w:t>E-HANDI TOUR GUIDE DE L’INCLUSION INNOVANTE DES PSDH</w:t>
      </w:r>
    </w:p>
    <w:p w14:paraId="3CD47964" w14:textId="77777777" w:rsidR="00590A69" w:rsidRDefault="00590A69" w:rsidP="00590A69">
      <w:pPr>
        <w:pStyle w:val="NormalWeb"/>
        <w:spacing w:before="0" w:beforeAutospacing="0" w:after="0" w:afterAutospacing="0"/>
        <w:jc w:val="center"/>
        <w:rPr>
          <w:rFonts w:ascii="Luciole" w:hAnsi="Luciole" w:cs="Calibri"/>
          <w:b/>
          <w:bCs/>
          <w:color w:val="000000"/>
        </w:rPr>
      </w:pPr>
    </w:p>
    <w:p w14:paraId="60FB616E" w14:textId="77777777" w:rsidR="001E38D6" w:rsidRPr="00590A69" w:rsidRDefault="001E38D6" w:rsidP="00590A69">
      <w:pPr>
        <w:pStyle w:val="NormalWeb"/>
        <w:spacing w:before="0" w:beforeAutospacing="0" w:after="0" w:afterAutospacing="0"/>
        <w:jc w:val="center"/>
        <w:rPr>
          <w:rFonts w:ascii="Luciole" w:hAnsi="Luciole" w:cs="Calibri"/>
          <w:b/>
          <w:bCs/>
          <w:color w:val="000000"/>
        </w:rPr>
      </w:pPr>
      <w:r w:rsidRPr="00590A69">
        <w:rPr>
          <w:rFonts w:ascii="Luciole" w:hAnsi="Luciole" w:cs="Calibri"/>
          <w:b/>
          <w:bCs/>
          <w:color w:val="000000"/>
        </w:rPr>
        <w:t>IDENTIFICATION :</w:t>
      </w:r>
    </w:p>
    <w:p w14:paraId="44ACEEA1" w14:textId="77777777" w:rsidR="00206C2A" w:rsidRDefault="00206C2A" w:rsidP="00590A69">
      <w:pPr>
        <w:pStyle w:val="NormalWeb"/>
        <w:spacing w:before="0" w:beforeAutospacing="0" w:after="0" w:afterAutospacing="0"/>
        <w:jc w:val="both"/>
        <w:rPr>
          <w:rFonts w:ascii="Luciole" w:hAnsi="Luciole"/>
        </w:rPr>
      </w:pPr>
    </w:p>
    <w:p w14:paraId="3E41BA15" w14:textId="77777777" w:rsidR="00590A69" w:rsidRPr="00590A69" w:rsidRDefault="00590A69" w:rsidP="00590A69">
      <w:pPr>
        <w:pStyle w:val="NormalWeb"/>
        <w:spacing w:before="0" w:beforeAutospacing="0" w:after="0" w:afterAutospacing="0"/>
        <w:jc w:val="both"/>
        <w:rPr>
          <w:rFonts w:ascii="Luciole" w:hAnsi="Luciole"/>
        </w:rPr>
      </w:pPr>
    </w:p>
    <w:p w14:paraId="7A8C9FC7" w14:textId="77777777" w:rsid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
          <w:bCs/>
          <w:color w:val="000000"/>
        </w:rPr>
        <w:t>Titre de la pratique exemplaire :</w:t>
      </w:r>
      <w:r w:rsidRPr="00590A69">
        <w:rPr>
          <w:rFonts w:ascii="Luciole" w:hAnsi="Luciole" w:cs="Calibri"/>
          <w:b/>
          <w:bCs/>
          <w:color w:val="000000"/>
        </w:rPr>
        <w:br/>
      </w:r>
    </w:p>
    <w:p w14:paraId="26D5932D" w14:textId="7FDA8190"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Neurodiversité en Entreprise</w:t>
      </w:r>
    </w:p>
    <w:p w14:paraId="084D4A14" w14:textId="77777777" w:rsidR="00747CD3" w:rsidRPr="00590A69" w:rsidRDefault="00747CD3" w:rsidP="00590A69">
      <w:pPr>
        <w:pStyle w:val="NormalWeb"/>
        <w:spacing w:before="0" w:beforeAutospacing="0" w:after="0" w:afterAutospacing="0"/>
        <w:textAlignment w:val="baseline"/>
        <w:rPr>
          <w:rFonts w:ascii="Luciole" w:hAnsi="Luciole" w:cs="Calibri"/>
          <w:color w:val="000000"/>
        </w:rPr>
      </w:pPr>
    </w:p>
    <w:p w14:paraId="1E779A5A" w14:textId="77777777" w:rsidR="00590A69" w:rsidRDefault="001E38D6" w:rsidP="00590A69">
      <w:pPr>
        <w:pStyle w:val="NormalWeb"/>
        <w:spacing w:before="0" w:beforeAutospacing="0" w:after="0" w:afterAutospacing="0"/>
        <w:textAlignment w:val="baseline"/>
        <w:rPr>
          <w:rFonts w:ascii="Luciole" w:hAnsi="Luciole" w:cs="Calibri"/>
          <w:b/>
          <w:bCs/>
          <w:color w:val="000000"/>
        </w:rPr>
      </w:pPr>
      <w:r w:rsidRPr="00590A69">
        <w:rPr>
          <w:rFonts w:ascii="Luciole" w:hAnsi="Luciole" w:cs="Calibri"/>
          <w:b/>
          <w:bCs/>
          <w:color w:val="000000"/>
        </w:rPr>
        <w:t>Promoteur de l'initiative :</w:t>
      </w:r>
      <w:r w:rsidR="00747CD3" w:rsidRPr="00590A69">
        <w:rPr>
          <w:rFonts w:ascii="Luciole" w:hAnsi="Luciole" w:cs="Calibri"/>
          <w:b/>
          <w:bCs/>
          <w:color w:val="000000"/>
        </w:rPr>
        <w:t xml:space="preserve"> </w:t>
      </w:r>
    </w:p>
    <w:p w14:paraId="796FB431"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6A7BF37F" w14:textId="6D693DAB"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 xml:space="preserve">IMS </w:t>
      </w:r>
      <w:r w:rsidR="00747CD3" w:rsidRPr="00590A69">
        <w:rPr>
          <w:rFonts w:ascii="Luciole" w:hAnsi="Luciole" w:cs="Calibri"/>
          <w:color w:val="000000"/>
        </w:rPr>
        <w:t>Luxembourg</w:t>
      </w:r>
    </w:p>
    <w:p w14:paraId="181F8948" w14:textId="77777777" w:rsidR="00747CD3" w:rsidRPr="00590A69" w:rsidRDefault="00747CD3" w:rsidP="00590A69">
      <w:pPr>
        <w:pStyle w:val="NormalWeb"/>
        <w:spacing w:before="0" w:beforeAutospacing="0" w:after="0" w:afterAutospacing="0"/>
        <w:textAlignment w:val="baseline"/>
        <w:rPr>
          <w:rFonts w:ascii="Luciole" w:hAnsi="Luciole" w:cs="Calibri"/>
          <w:color w:val="000000"/>
        </w:rPr>
      </w:pPr>
    </w:p>
    <w:p w14:paraId="4D60AB5E" w14:textId="77777777" w:rsidR="00590A69" w:rsidRDefault="001E38D6" w:rsidP="00590A69">
      <w:pPr>
        <w:pStyle w:val="NormalWeb"/>
        <w:spacing w:before="0" w:beforeAutospacing="0" w:after="0" w:afterAutospacing="0"/>
        <w:textAlignment w:val="baseline"/>
        <w:rPr>
          <w:rFonts w:ascii="Luciole" w:hAnsi="Luciole" w:cs="Calibri"/>
          <w:b/>
          <w:bCs/>
          <w:color w:val="000000"/>
        </w:rPr>
      </w:pPr>
      <w:r w:rsidRPr="00590A69">
        <w:rPr>
          <w:rFonts w:ascii="Luciole" w:hAnsi="Luciole" w:cs="Calibri"/>
          <w:b/>
          <w:bCs/>
          <w:color w:val="000000"/>
        </w:rPr>
        <w:t>Pays :</w:t>
      </w:r>
      <w:r w:rsidR="00747CD3" w:rsidRPr="00590A69">
        <w:rPr>
          <w:rFonts w:ascii="Luciole" w:hAnsi="Luciole" w:cs="Calibri"/>
          <w:b/>
          <w:bCs/>
          <w:color w:val="000000"/>
        </w:rPr>
        <w:t xml:space="preserve"> </w:t>
      </w:r>
    </w:p>
    <w:p w14:paraId="2A46F2CE"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30393A49" w14:textId="109B20D3" w:rsidR="001E38D6" w:rsidRPr="00590A69" w:rsidRDefault="00747CD3"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Luxembourg</w:t>
      </w:r>
    </w:p>
    <w:p w14:paraId="02FDA44B" w14:textId="77777777" w:rsidR="00747CD3" w:rsidRPr="00590A69" w:rsidRDefault="00747CD3" w:rsidP="00590A69">
      <w:pPr>
        <w:pStyle w:val="NormalWeb"/>
        <w:spacing w:before="0" w:beforeAutospacing="0" w:after="0" w:afterAutospacing="0"/>
        <w:textAlignment w:val="baseline"/>
        <w:rPr>
          <w:rFonts w:ascii="Luciole" w:hAnsi="Luciole" w:cs="Calibri"/>
          <w:color w:val="000000"/>
        </w:rPr>
      </w:pPr>
    </w:p>
    <w:p w14:paraId="7EDD8C7E" w14:textId="77777777" w:rsidR="00590A69" w:rsidRDefault="001E38D6" w:rsidP="00590A69">
      <w:pPr>
        <w:pStyle w:val="NormalWeb"/>
        <w:spacing w:before="0" w:beforeAutospacing="0" w:after="0" w:afterAutospacing="0"/>
        <w:textAlignment w:val="baseline"/>
        <w:rPr>
          <w:rFonts w:ascii="Luciole" w:hAnsi="Luciole" w:cs="Calibri"/>
          <w:b/>
          <w:bCs/>
          <w:color w:val="000000"/>
        </w:rPr>
      </w:pPr>
      <w:r w:rsidRPr="00590A69">
        <w:rPr>
          <w:rFonts w:ascii="Luciole" w:hAnsi="Luciole" w:cs="Calibri"/>
          <w:b/>
          <w:bCs/>
          <w:color w:val="000000"/>
        </w:rPr>
        <w:t>Site internet :</w:t>
      </w:r>
      <w:r w:rsidR="00747CD3" w:rsidRPr="00590A69">
        <w:rPr>
          <w:rFonts w:ascii="Luciole" w:hAnsi="Luciole" w:cs="Calibri"/>
          <w:b/>
          <w:bCs/>
          <w:color w:val="000000"/>
        </w:rPr>
        <w:t xml:space="preserve"> </w:t>
      </w:r>
    </w:p>
    <w:p w14:paraId="519B9038"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1E7DD29F" w14:textId="1463BECE" w:rsidR="001E38D6" w:rsidRPr="00590A69" w:rsidRDefault="00464739" w:rsidP="00590A69">
      <w:pPr>
        <w:pStyle w:val="NormalWeb"/>
        <w:spacing w:before="0" w:beforeAutospacing="0" w:after="0" w:afterAutospacing="0"/>
        <w:textAlignment w:val="baseline"/>
        <w:rPr>
          <w:rFonts w:ascii="Luciole" w:hAnsi="Luciole" w:cs="Calibri"/>
          <w:color w:val="000000"/>
        </w:rPr>
      </w:pPr>
      <w:hyperlink r:id="rId8" w:history="1">
        <w:r w:rsidR="001E38D6" w:rsidRPr="00590A69">
          <w:rPr>
            <w:rStyle w:val="Lienhypertexte"/>
            <w:rFonts w:ascii="Luciole" w:hAnsi="Luciole" w:cs="Calibri"/>
            <w:color w:val="1155CC"/>
          </w:rPr>
          <w:t>www.imslux.lu</w:t>
        </w:r>
      </w:hyperlink>
    </w:p>
    <w:p w14:paraId="4F122E2C" w14:textId="77777777" w:rsidR="00747CD3" w:rsidRPr="00590A69" w:rsidRDefault="00747CD3" w:rsidP="00590A69">
      <w:pPr>
        <w:pStyle w:val="NormalWeb"/>
        <w:spacing w:before="0" w:beforeAutospacing="0" w:after="0" w:afterAutospacing="0"/>
        <w:textAlignment w:val="baseline"/>
        <w:rPr>
          <w:rFonts w:ascii="Luciole" w:hAnsi="Luciole" w:cs="Calibri"/>
          <w:color w:val="000000"/>
        </w:rPr>
      </w:pPr>
    </w:p>
    <w:p w14:paraId="57F894B3" w14:textId="77777777" w:rsidR="00590A69" w:rsidRDefault="001E38D6" w:rsidP="00590A69">
      <w:pPr>
        <w:pStyle w:val="NormalWeb"/>
        <w:spacing w:before="0" w:beforeAutospacing="0" w:after="0" w:afterAutospacing="0"/>
        <w:textAlignment w:val="baseline"/>
        <w:rPr>
          <w:rFonts w:ascii="Luciole" w:hAnsi="Luciole" w:cs="Calibri"/>
          <w:b/>
          <w:bCs/>
          <w:color w:val="000000"/>
        </w:rPr>
      </w:pPr>
      <w:r w:rsidRPr="00590A69">
        <w:rPr>
          <w:rFonts w:ascii="Luciole" w:hAnsi="Luciole" w:cs="Calibri"/>
          <w:b/>
          <w:bCs/>
          <w:color w:val="000000"/>
        </w:rPr>
        <w:t>Contact :</w:t>
      </w:r>
      <w:r w:rsidR="00747CD3" w:rsidRPr="00590A69">
        <w:rPr>
          <w:rFonts w:ascii="Luciole" w:hAnsi="Luciole" w:cs="Calibri"/>
          <w:b/>
          <w:bCs/>
          <w:color w:val="000000"/>
        </w:rPr>
        <w:t xml:space="preserve"> </w:t>
      </w:r>
    </w:p>
    <w:p w14:paraId="62F3DF43"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5C05D7E8" w14:textId="0E7292A8" w:rsidR="001E38D6" w:rsidRPr="00590A69" w:rsidRDefault="00590A69" w:rsidP="00590A69">
      <w:pPr>
        <w:pStyle w:val="NormalWeb"/>
        <w:spacing w:before="0" w:beforeAutospacing="0" w:after="0" w:afterAutospacing="0"/>
        <w:textAlignment w:val="baseline"/>
        <w:rPr>
          <w:rFonts w:ascii="Luciole" w:hAnsi="Luciole" w:cs="Calibri"/>
          <w:color w:val="000000"/>
        </w:rPr>
      </w:pPr>
      <w:hyperlink r:id="rId9" w:history="1">
        <w:r w:rsidR="001E38D6" w:rsidRPr="00590A69">
          <w:rPr>
            <w:rStyle w:val="Lienhypertexte"/>
            <w:rFonts w:ascii="Luciole" w:hAnsi="Luciole" w:cs="Calibri"/>
          </w:rPr>
          <w:t>info@imslux.lu</w:t>
        </w:r>
      </w:hyperlink>
    </w:p>
    <w:p w14:paraId="6738B752" w14:textId="22469F7E" w:rsidR="001E38D6" w:rsidRDefault="001E38D6" w:rsidP="00590A69">
      <w:pPr>
        <w:spacing w:after="0" w:line="240" w:lineRule="auto"/>
        <w:ind w:left="0"/>
        <w:rPr>
          <w:rFonts w:ascii="Luciole" w:hAnsi="Luciole" w:cs="Times New Roman"/>
          <w:color w:val="auto"/>
        </w:rPr>
      </w:pPr>
    </w:p>
    <w:p w14:paraId="40C8FC29" w14:textId="5C70EB68" w:rsidR="00590A69" w:rsidRDefault="00590A69">
      <w:pPr>
        <w:spacing w:after="160" w:line="259" w:lineRule="auto"/>
        <w:ind w:left="0" w:firstLine="0"/>
        <w:rPr>
          <w:rFonts w:ascii="Luciole" w:hAnsi="Luciole" w:cs="Times New Roman"/>
          <w:color w:val="auto"/>
        </w:rPr>
      </w:pPr>
      <w:r>
        <w:rPr>
          <w:rFonts w:ascii="Luciole" w:hAnsi="Luciole" w:cs="Times New Roman"/>
          <w:color w:val="auto"/>
        </w:rPr>
        <w:br w:type="page"/>
      </w:r>
    </w:p>
    <w:p w14:paraId="05DDAF0B" w14:textId="77777777" w:rsidR="001E38D6" w:rsidRPr="00590A69" w:rsidRDefault="001E38D6" w:rsidP="00590A69">
      <w:pPr>
        <w:pStyle w:val="Titre3"/>
        <w:numPr>
          <w:ilvl w:val="0"/>
          <w:numId w:val="0"/>
        </w:numPr>
        <w:spacing w:before="0" w:after="0" w:line="240" w:lineRule="auto"/>
        <w:jc w:val="both"/>
        <w:rPr>
          <w:rFonts w:ascii="Luciole" w:hAnsi="Luciole"/>
        </w:rPr>
      </w:pPr>
      <w:r w:rsidRPr="00590A69">
        <w:rPr>
          <w:rFonts w:ascii="Luciole" w:hAnsi="Luciole" w:cs="Calibri"/>
          <w:color w:val="000000"/>
          <w:sz w:val="26"/>
          <w:szCs w:val="26"/>
        </w:rPr>
        <w:lastRenderedPageBreak/>
        <w:t>DÉTAIL DE L’INITIATIVE :</w:t>
      </w:r>
    </w:p>
    <w:p w14:paraId="73E99DA1"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645122A5"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17AB0935" w14:textId="77777777" w:rsid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
          <w:bCs/>
          <w:color w:val="000000"/>
        </w:rPr>
        <w:t>Année(s) de mise en œuvre :</w:t>
      </w:r>
      <w:r w:rsidRPr="00590A69">
        <w:rPr>
          <w:rFonts w:ascii="Luciole" w:hAnsi="Luciole" w:cs="Calibri"/>
          <w:b/>
          <w:bCs/>
          <w:color w:val="000000"/>
        </w:rPr>
        <w:br/>
      </w:r>
    </w:p>
    <w:p w14:paraId="2490DBD7" w14:textId="178CF3FF"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Depuis 2023</w:t>
      </w:r>
    </w:p>
    <w:p w14:paraId="0A615A93" w14:textId="77777777" w:rsidR="00747CD3" w:rsidRDefault="00747CD3" w:rsidP="00590A69">
      <w:pPr>
        <w:pStyle w:val="NormalWeb"/>
        <w:spacing w:before="0" w:beforeAutospacing="0" w:after="0" w:afterAutospacing="0"/>
        <w:textAlignment w:val="baseline"/>
        <w:rPr>
          <w:rFonts w:ascii="Luciole" w:hAnsi="Luciole" w:cs="Calibri"/>
          <w:color w:val="000000"/>
        </w:rPr>
      </w:pPr>
    </w:p>
    <w:p w14:paraId="15794AE4" w14:textId="77777777" w:rsidR="00590A69" w:rsidRPr="00590A69" w:rsidRDefault="00590A69" w:rsidP="00590A69">
      <w:pPr>
        <w:pStyle w:val="NormalWeb"/>
        <w:spacing w:before="0" w:beforeAutospacing="0" w:after="0" w:afterAutospacing="0"/>
        <w:textAlignment w:val="baseline"/>
        <w:rPr>
          <w:rFonts w:ascii="Luciole" w:hAnsi="Luciole" w:cs="Calibri"/>
          <w:color w:val="000000"/>
        </w:rPr>
      </w:pPr>
    </w:p>
    <w:p w14:paraId="644E8C56" w14:textId="77777777" w:rsidR="001E38D6" w:rsidRDefault="001E38D6" w:rsidP="00590A69">
      <w:pPr>
        <w:pStyle w:val="NormalWeb"/>
        <w:spacing w:before="0" w:beforeAutospacing="0" w:after="0" w:afterAutospacing="0"/>
        <w:textAlignment w:val="baseline"/>
        <w:rPr>
          <w:rFonts w:ascii="Luciole" w:hAnsi="Luciole" w:cs="Calibri"/>
          <w:b/>
          <w:bCs/>
          <w:color w:val="000000"/>
        </w:rPr>
      </w:pPr>
      <w:r w:rsidRPr="00590A69">
        <w:rPr>
          <w:rFonts w:ascii="Luciole" w:hAnsi="Luciole" w:cs="Calibri"/>
          <w:b/>
          <w:bCs/>
          <w:color w:val="000000"/>
        </w:rPr>
        <w:t>Groupe(s) cible(s) :</w:t>
      </w:r>
    </w:p>
    <w:p w14:paraId="693ACAB7" w14:textId="77777777" w:rsidR="00590A69" w:rsidRPr="00590A69" w:rsidRDefault="00590A69" w:rsidP="00590A69">
      <w:pPr>
        <w:pStyle w:val="NormalWeb"/>
        <w:spacing w:before="0" w:beforeAutospacing="0" w:after="0" w:afterAutospacing="0"/>
        <w:textAlignment w:val="baseline"/>
        <w:rPr>
          <w:rFonts w:ascii="Luciole" w:hAnsi="Luciole" w:cs="Calibri"/>
          <w:color w:val="000000"/>
        </w:rPr>
      </w:pPr>
    </w:p>
    <w:p w14:paraId="346AB927" w14:textId="77777777" w:rsidR="001E38D6" w:rsidRPr="00590A69" w:rsidRDefault="001E38D6" w:rsidP="00590A69">
      <w:pPr>
        <w:pStyle w:val="NormalWeb"/>
        <w:numPr>
          <w:ilvl w:val="0"/>
          <w:numId w:val="37"/>
        </w:numPr>
        <w:spacing w:before="0" w:beforeAutospacing="0" w:after="0" w:afterAutospacing="0"/>
        <w:textAlignment w:val="baseline"/>
        <w:rPr>
          <w:rFonts w:ascii="Luciole" w:hAnsi="Luciole" w:cs="Calibri"/>
          <w:color w:val="000000"/>
        </w:rPr>
      </w:pPr>
      <w:r w:rsidRPr="00590A69">
        <w:rPr>
          <w:rFonts w:ascii="Luciole" w:hAnsi="Luciole" w:cs="Calibri"/>
          <w:color w:val="000000"/>
        </w:rPr>
        <w:t>Employeurs</w:t>
      </w:r>
    </w:p>
    <w:p w14:paraId="7D4DD4F2" w14:textId="77777777" w:rsidR="001E38D6" w:rsidRPr="00590A69" w:rsidRDefault="001E38D6" w:rsidP="00590A69">
      <w:pPr>
        <w:pStyle w:val="NormalWeb"/>
        <w:numPr>
          <w:ilvl w:val="0"/>
          <w:numId w:val="37"/>
        </w:numPr>
        <w:spacing w:before="0" w:beforeAutospacing="0" w:after="0" w:afterAutospacing="0"/>
        <w:textAlignment w:val="baseline"/>
        <w:rPr>
          <w:rFonts w:ascii="Luciole" w:hAnsi="Luciole" w:cs="Calibri"/>
          <w:color w:val="000000"/>
        </w:rPr>
      </w:pPr>
      <w:r w:rsidRPr="00590A69">
        <w:rPr>
          <w:rFonts w:ascii="Luciole" w:hAnsi="Luciole" w:cs="Calibri"/>
          <w:color w:val="000000"/>
        </w:rPr>
        <w:t>Managers</w:t>
      </w:r>
    </w:p>
    <w:p w14:paraId="2DEF4891" w14:textId="77777777" w:rsidR="001E38D6" w:rsidRPr="00590A69" w:rsidRDefault="001E38D6" w:rsidP="00590A69">
      <w:pPr>
        <w:pStyle w:val="NormalWeb"/>
        <w:numPr>
          <w:ilvl w:val="0"/>
          <w:numId w:val="37"/>
        </w:numPr>
        <w:spacing w:before="0" w:beforeAutospacing="0" w:after="0" w:afterAutospacing="0"/>
        <w:textAlignment w:val="baseline"/>
        <w:rPr>
          <w:rFonts w:ascii="Luciole" w:hAnsi="Luciole" w:cs="Calibri"/>
          <w:color w:val="000000"/>
        </w:rPr>
      </w:pPr>
      <w:r w:rsidRPr="00590A69">
        <w:rPr>
          <w:rFonts w:ascii="Luciole" w:hAnsi="Luciole" w:cs="Calibri"/>
          <w:color w:val="000000"/>
        </w:rPr>
        <w:t>Responsables des ressources humaines</w:t>
      </w:r>
    </w:p>
    <w:p w14:paraId="4FBFB7DE" w14:textId="77777777" w:rsidR="001E38D6" w:rsidRPr="00590A69" w:rsidRDefault="001E38D6" w:rsidP="00590A69">
      <w:pPr>
        <w:pStyle w:val="NormalWeb"/>
        <w:numPr>
          <w:ilvl w:val="0"/>
          <w:numId w:val="37"/>
        </w:numPr>
        <w:spacing w:before="0" w:beforeAutospacing="0" w:after="0" w:afterAutospacing="0"/>
        <w:textAlignment w:val="baseline"/>
        <w:rPr>
          <w:rFonts w:ascii="Luciole" w:hAnsi="Luciole" w:cs="Calibri"/>
          <w:color w:val="000000"/>
        </w:rPr>
      </w:pPr>
      <w:r w:rsidRPr="00590A69">
        <w:rPr>
          <w:rFonts w:ascii="Luciole" w:hAnsi="Luciole" w:cs="Calibri"/>
          <w:color w:val="000000"/>
        </w:rPr>
        <w:t>Collaborateurs</w:t>
      </w:r>
    </w:p>
    <w:p w14:paraId="394B7E7D" w14:textId="77777777" w:rsidR="00206C2A" w:rsidRDefault="00206C2A" w:rsidP="00590A69">
      <w:pPr>
        <w:pStyle w:val="NormalWeb"/>
        <w:spacing w:before="0" w:beforeAutospacing="0" w:after="0" w:afterAutospacing="0"/>
        <w:textAlignment w:val="baseline"/>
        <w:rPr>
          <w:rFonts w:ascii="Luciole" w:hAnsi="Luciole" w:cs="Calibri"/>
          <w:color w:val="000000"/>
        </w:rPr>
      </w:pPr>
    </w:p>
    <w:p w14:paraId="40839936" w14:textId="77777777" w:rsidR="00590A69" w:rsidRPr="00590A69" w:rsidRDefault="00590A69" w:rsidP="00590A69">
      <w:pPr>
        <w:pStyle w:val="NormalWeb"/>
        <w:spacing w:before="0" w:beforeAutospacing="0" w:after="0" w:afterAutospacing="0"/>
        <w:textAlignment w:val="baseline"/>
        <w:rPr>
          <w:rFonts w:ascii="Luciole" w:hAnsi="Luciole" w:cs="Calibri"/>
          <w:color w:val="000000"/>
        </w:rPr>
      </w:pPr>
    </w:p>
    <w:p w14:paraId="13998556" w14:textId="77777777" w:rsid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
          <w:bCs/>
          <w:color w:val="000000"/>
        </w:rPr>
        <w:t>Description :</w:t>
      </w:r>
      <w:r w:rsidRPr="00590A69">
        <w:rPr>
          <w:rFonts w:ascii="Luciole" w:hAnsi="Luciole" w:cs="Calibri"/>
          <w:b/>
          <w:bCs/>
          <w:color w:val="000000"/>
        </w:rPr>
        <w:br/>
      </w:r>
    </w:p>
    <w:p w14:paraId="53DC7CE9" w14:textId="039CEA1F" w:rsidR="00747CD3"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 xml:space="preserve">L'initiative </w:t>
      </w:r>
      <w:r w:rsidRPr="00590A69">
        <w:rPr>
          <w:rFonts w:ascii="Luciole" w:hAnsi="Luciole" w:cs="Calibri"/>
          <w:b/>
          <w:bCs/>
          <w:color w:val="000000"/>
        </w:rPr>
        <w:t>"</w:t>
      </w:r>
      <w:r w:rsidRPr="00590A69">
        <w:rPr>
          <w:rFonts w:ascii="Luciole" w:hAnsi="Luciole" w:cs="Calibri"/>
          <w:bCs/>
          <w:color w:val="000000"/>
        </w:rPr>
        <w:t>Neurodiversité en Entreprise"</w:t>
      </w:r>
      <w:r w:rsidRPr="00590A69">
        <w:rPr>
          <w:rFonts w:ascii="Luciole" w:hAnsi="Luciole" w:cs="Calibri"/>
          <w:color w:val="000000"/>
        </w:rPr>
        <w:t xml:space="preserve"> lancée par </w:t>
      </w:r>
      <w:r w:rsidRPr="00590A69">
        <w:rPr>
          <w:rFonts w:ascii="Luciole" w:hAnsi="Luciole" w:cs="Calibri"/>
          <w:bCs/>
          <w:color w:val="000000"/>
        </w:rPr>
        <w:t>IMS Luxembourg</w:t>
      </w:r>
      <w:r w:rsidRPr="00590A69">
        <w:rPr>
          <w:rFonts w:ascii="Luciole" w:hAnsi="Luciole" w:cs="Calibri"/>
          <w:color w:val="000000"/>
        </w:rPr>
        <w:t xml:space="preserve"> vise à promouvoir une meilleure inclusion des neurodivergents dans le monde professionnel. Elle porte un éclairage sur les conditions telles que le </w:t>
      </w:r>
      <w:r w:rsidRPr="00590A69">
        <w:rPr>
          <w:rFonts w:ascii="Luciole" w:hAnsi="Luciole" w:cs="Calibri"/>
          <w:bCs/>
          <w:color w:val="000000"/>
        </w:rPr>
        <w:t>TDAH</w:t>
      </w:r>
      <w:r w:rsidRPr="00590A69">
        <w:rPr>
          <w:rFonts w:ascii="Luciole" w:hAnsi="Luciole" w:cs="Calibri"/>
          <w:color w:val="000000"/>
        </w:rPr>
        <w:t xml:space="preserve">, le </w:t>
      </w:r>
      <w:r w:rsidR="00206C2A" w:rsidRPr="00590A69">
        <w:rPr>
          <w:rFonts w:ascii="Luciole" w:hAnsi="Luciole" w:cs="Calibri"/>
          <w:b/>
          <w:bCs/>
          <w:color w:val="000000"/>
        </w:rPr>
        <w:t xml:space="preserve"> </w:t>
      </w:r>
      <w:r w:rsidR="00206C2A" w:rsidRPr="00590A69">
        <w:rPr>
          <w:rFonts w:ascii="Luciole" w:hAnsi="Luciole" w:cs="Calibri"/>
          <w:bCs/>
          <w:color w:val="000000"/>
        </w:rPr>
        <w:t>HPI</w:t>
      </w:r>
      <w:r w:rsidRPr="00590A69">
        <w:rPr>
          <w:rFonts w:ascii="Luciole" w:hAnsi="Luciole" w:cs="Calibri"/>
          <w:color w:val="000000"/>
        </w:rPr>
        <w:t xml:space="preserve">, la </w:t>
      </w:r>
      <w:r w:rsidRPr="00590A69">
        <w:rPr>
          <w:rFonts w:ascii="Luciole" w:hAnsi="Luciole" w:cs="Calibri"/>
          <w:bCs/>
          <w:color w:val="000000"/>
        </w:rPr>
        <w:t>dyslexie</w:t>
      </w:r>
      <w:r w:rsidRPr="00590A69">
        <w:rPr>
          <w:rFonts w:ascii="Luciole" w:hAnsi="Luciole" w:cs="Calibri"/>
          <w:color w:val="000000"/>
        </w:rPr>
        <w:t>, et l'</w:t>
      </w:r>
      <w:r w:rsidRPr="00590A69">
        <w:rPr>
          <w:rFonts w:ascii="Luciole" w:hAnsi="Luciole" w:cs="Calibri"/>
          <w:bCs/>
          <w:color w:val="000000"/>
        </w:rPr>
        <w:t>autisme</w:t>
      </w:r>
      <w:r w:rsidRPr="00590A69">
        <w:rPr>
          <w:rFonts w:ascii="Luciole" w:hAnsi="Luciole" w:cs="Calibri"/>
          <w:color w:val="000000"/>
        </w:rPr>
        <w:t xml:space="preserve">, souvent mal comprises et source de stigmatisation. </w:t>
      </w:r>
    </w:p>
    <w:p w14:paraId="3A03AB23" w14:textId="77777777" w:rsidR="00747CD3" w:rsidRPr="00590A69" w:rsidRDefault="00747CD3" w:rsidP="00590A69">
      <w:pPr>
        <w:pStyle w:val="NormalWeb"/>
        <w:spacing w:before="0" w:beforeAutospacing="0" w:after="0" w:afterAutospacing="0"/>
        <w:textAlignment w:val="baseline"/>
        <w:rPr>
          <w:rFonts w:ascii="Luciole" w:hAnsi="Luciole" w:cs="Calibri"/>
          <w:color w:val="000000"/>
        </w:rPr>
      </w:pPr>
    </w:p>
    <w:p w14:paraId="08FDADA6" w14:textId="4CB0E9BC"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L'objectif est de transformer la perception de la neurodivergence en atout pour les équipes, tout en fournissant des pratiques exemplaires pour intégrer efficacement ces personnes au sein des entreprises. L'initiative met en avant les avantages de la diversité cognitive et vise à en faire un levier de performance pour les entreprises.</w:t>
      </w:r>
    </w:p>
    <w:p w14:paraId="06FB5F4C" w14:textId="762BC25A" w:rsidR="001E38D6" w:rsidRDefault="001E38D6" w:rsidP="00590A69">
      <w:pPr>
        <w:spacing w:after="0" w:line="240" w:lineRule="auto"/>
        <w:ind w:left="0"/>
        <w:rPr>
          <w:rFonts w:ascii="Luciole" w:hAnsi="Luciole" w:cs="Times New Roman"/>
          <w:color w:val="auto"/>
        </w:rPr>
      </w:pPr>
    </w:p>
    <w:p w14:paraId="35CE4B61" w14:textId="1BC36FBA" w:rsidR="00590A69" w:rsidRDefault="00590A69">
      <w:pPr>
        <w:spacing w:after="160" w:line="259" w:lineRule="auto"/>
        <w:ind w:left="0" w:firstLine="0"/>
        <w:rPr>
          <w:rFonts w:ascii="Luciole" w:hAnsi="Luciole" w:cs="Times New Roman"/>
          <w:color w:val="auto"/>
        </w:rPr>
      </w:pPr>
      <w:r>
        <w:rPr>
          <w:rFonts w:ascii="Luciole" w:hAnsi="Luciole" w:cs="Times New Roman"/>
          <w:color w:val="auto"/>
        </w:rPr>
        <w:br w:type="page"/>
      </w:r>
    </w:p>
    <w:p w14:paraId="74839D9B" w14:textId="77777777" w:rsidR="001E38D6" w:rsidRPr="00590A69" w:rsidRDefault="001E38D6" w:rsidP="00590A69">
      <w:pPr>
        <w:pStyle w:val="Titre3"/>
        <w:numPr>
          <w:ilvl w:val="0"/>
          <w:numId w:val="0"/>
        </w:numPr>
        <w:spacing w:before="0" w:after="0" w:line="240" w:lineRule="auto"/>
        <w:jc w:val="both"/>
        <w:rPr>
          <w:rFonts w:ascii="Luciole" w:hAnsi="Luciole"/>
        </w:rPr>
      </w:pPr>
      <w:r w:rsidRPr="00590A69">
        <w:rPr>
          <w:rFonts w:ascii="Luciole" w:hAnsi="Luciole" w:cs="Calibri"/>
          <w:color w:val="000000"/>
          <w:sz w:val="26"/>
          <w:szCs w:val="26"/>
        </w:rPr>
        <w:lastRenderedPageBreak/>
        <w:t>MÉTHODOLOGIE :</w:t>
      </w:r>
    </w:p>
    <w:p w14:paraId="462E90D8"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037788B0"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679B2E28" w14:textId="77777777" w:rsidR="00590A69" w:rsidRDefault="001E38D6" w:rsidP="00590A69">
      <w:pPr>
        <w:pStyle w:val="NormalWeb"/>
        <w:spacing w:before="0" w:beforeAutospacing="0" w:after="0" w:afterAutospacing="0"/>
        <w:textAlignment w:val="baseline"/>
        <w:rPr>
          <w:rFonts w:ascii="Luciole" w:hAnsi="Luciole" w:cs="Calibri"/>
          <w:bCs/>
          <w:color w:val="000000"/>
        </w:rPr>
      </w:pPr>
      <w:r w:rsidRPr="00590A69">
        <w:rPr>
          <w:rFonts w:ascii="Luciole" w:hAnsi="Luciole" w:cs="Calibri"/>
          <w:b/>
          <w:bCs/>
          <w:color w:val="000000"/>
        </w:rPr>
        <w:t>Éducation et Sensibilisation :</w:t>
      </w:r>
      <w:r w:rsidRPr="00590A69">
        <w:rPr>
          <w:rFonts w:ascii="Luciole" w:hAnsi="Luciole" w:cs="Calibri"/>
          <w:b/>
          <w:bCs/>
          <w:color w:val="000000"/>
        </w:rPr>
        <w:br/>
      </w:r>
    </w:p>
    <w:p w14:paraId="78422995" w14:textId="4746950A"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Cs/>
          <w:color w:val="000000"/>
        </w:rPr>
        <w:t>IMS</w:t>
      </w:r>
      <w:r w:rsidRPr="00590A69">
        <w:rPr>
          <w:rFonts w:ascii="Luciole" w:hAnsi="Luciole" w:cs="Calibri"/>
          <w:b/>
          <w:bCs/>
          <w:color w:val="000000"/>
        </w:rPr>
        <w:t xml:space="preserve"> </w:t>
      </w:r>
      <w:r w:rsidRPr="00590A69">
        <w:rPr>
          <w:rFonts w:ascii="Luciole" w:hAnsi="Luciole" w:cs="Calibri"/>
          <w:bCs/>
          <w:color w:val="000000"/>
        </w:rPr>
        <w:t>Luxembourg</w:t>
      </w:r>
      <w:r w:rsidRPr="00590A69">
        <w:rPr>
          <w:rFonts w:ascii="Luciole" w:hAnsi="Luciole" w:cs="Calibri"/>
          <w:color w:val="000000"/>
        </w:rPr>
        <w:t xml:space="preserve"> organise des conférences, des séminaires et des ateliers pour définir la </w:t>
      </w:r>
      <w:r w:rsidRPr="00590A69">
        <w:rPr>
          <w:rFonts w:ascii="Luciole" w:hAnsi="Luciole" w:cs="Calibri"/>
          <w:bCs/>
          <w:color w:val="000000"/>
        </w:rPr>
        <w:t>neurodiversité</w:t>
      </w:r>
      <w:r w:rsidRPr="00590A69">
        <w:rPr>
          <w:rFonts w:ascii="Luciole" w:hAnsi="Luciole" w:cs="Calibri"/>
          <w:color w:val="000000"/>
        </w:rPr>
        <w:t xml:space="preserve"> et sensibiliser les employeurs, managers et collaborateurs à l’importance de l'inclusion des neurodivergents. Ces événements expliquent comment répondre aux besoins spécifiques de ces personnes tout en montrant les bénéfices pour l'entreprise.</w:t>
      </w:r>
    </w:p>
    <w:p w14:paraId="07CBEB4A" w14:textId="77777777" w:rsidR="00747CD3" w:rsidRDefault="00747CD3" w:rsidP="00590A69">
      <w:pPr>
        <w:pStyle w:val="NormalWeb"/>
        <w:spacing w:before="0" w:beforeAutospacing="0" w:after="0" w:afterAutospacing="0"/>
        <w:textAlignment w:val="baseline"/>
        <w:rPr>
          <w:rFonts w:ascii="Luciole" w:hAnsi="Luciole" w:cs="Calibri"/>
          <w:color w:val="000000"/>
        </w:rPr>
      </w:pPr>
    </w:p>
    <w:p w14:paraId="4B9D1DA7" w14:textId="77777777" w:rsidR="00590A69" w:rsidRPr="00590A69" w:rsidRDefault="00590A69" w:rsidP="00590A69">
      <w:pPr>
        <w:pStyle w:val="NormalWeb"/>
        <w:spacing w:before="0" w:beforeAutospacing="0" w:after="0" w:afterAutospacing="0"/>
        <w:textAlignment w:val="baseline"/>
        <w:rPr>
          <w:rFonts w:ascii="Luciole" w:hAnsi="Luciole" w:cs="Calibri"/>
          <w:color w:val="000000"/>
        </w:rPr>
      </w:pPr>
    </w:p>
    <w:p w14:paraId="79D078AC" w14:textId="77777777" w:rsid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
          <w:bCs/>
          <w:color w:val="000000"/>
        </w:rPr>
        <w:t>Guide de Bonnes Pratiques :</w:t>
      </w:r>
      <w:r w:rsidRPr="00590A69">
        <w:rPr>
          <w:rFonts w:ascii="Luciole" w:hAnsi="Luciole" w:cs="Calibri"/>
          <w:b/>
          <w:bCs/>
          <w:color w:val="000000"/>
        </w:rPr>
        <w:br/>
      </w:r>
    </w:p>
    <w:p w14:paraId="1D423716" w14:textId="4DB248BB"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 xml:space="preserve">Un guide intitulé </w:t>
      </w:r>
      <w:r w:rsidRPr="00590A69">
        <w:rPr>
          <w:rFonts w:ascii="Luciole" w:hAnsi="Luciole" w:cs="Calibri"/>
          <w:bCs/>
          <w:color w:val="000000"/>
        </w:rPr>
        <w:t>"Neurodiversité : Comprendre et Mieux Appréhender</w:t>
      </w:r>
      <w:r w:rsidRPr="00590A69">
        <w:rPr>
          <w:rFonts w:ascii="Luciole" w:hAnsi="Luciole" w:cs="Calibri"/>
          <w:b/>
          <w:bCs/>
          <w:color w:val="000000"/>
        </w:rPr>
        <w:t xml:space="preserve"> </w:t>
      </w:r>
      <w:r w:rsidRPr="00590A69">
        <w:rPr>
          <w:rFonts w:ascii="Luciole" w:hAnsi="Luciole" w:cs="Calibri"/>
          <w:bCs/>
          <w:color w:val="000000"/>
        </w:rPr>
        <w:t>la Neurodivergence au Travail"</w:t>
      </w:r>
      <w:r w:rsidRPr="00590A69">
        <w:rPr>
          <w:rFonts w:ascii="Luciole" w:hAnsi="Luciole" w:cs="Calibri"/>
          <w:color w:val="000000"/>
        </w:rPr>
        <w:t xml:space="preserve"> a été publié. Ce guide offre des recommandations pratiques sur la manière de recruter, intégrer, et soutenir les collaborateurs neurodivergents. Il aborde des stratégies pour adapter les espaces de travail et mettre en place des processus inclusifs dans l'entreprise, tout en favorisant une meilleure compréhension des différentes neurodivergences.</w:t>
      </w:r>
    </w:p>
    <w:p w14:paraId="79391867" w14:textId="77777777" w:rsidR="00747CD3" w:rsidRPr="00590A69" w:rsidRDefault="00747CD3" w:rsidP="00590A69">
      <w:pPr>
        <w:pStyle w:val="Paragraphedeliste"/>
        <w:spacing w:after="0" w:line="240" w:lineRule="auto"/>
        <w:ind w:left="0"/>
        <w:rPr>
          <w:rFonts w:ascii="Luciole" w:hAnsi="Luciole" w:cs="Calibri"/>
        </w:rPr>
      </w:pPr>
    </w:p>
    <w:p w14:paraId="350E1B46" w14:textId="77777777" w:rsidR="00747CD3" w:rsidRPr="00590A69" w:rsidRDefault="00747CD3" w:rsidP="00590A69">
      <w:pPr>
        <w:pStyle w:val="NormalWeb"/>
        <w:spacing w:before="0" w:beforeAutospacing="0" w:after="0" w:afterAutospacing="0"/>
        <w:textAlignment w:val="baseline"/>
        <w:rPr>
          <w:rFonts w:ascii="Luciole" w:hAnsi="Luciole" w:cs="Calibri"/>
          <w:color w:val="000000"/>
        </w:rPr>
      </w:pPr>
    </w:p>
    <w:p w14:paraId="658762D6" w14:textId="77777777" w:rsid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
          <w:bCs/>
          <w:color w:val="000000"/>
        </w:rPr>
        <w:t>Adaptation du Milieu de Travail :</w:t>
      </w:r>
      <w:r w:rsidRPr="00590A69">
        <w:rPr>
          <w:rFonts w:ascii="Luciole" w:hAnsi="Luciole" w:cs="Calibri"/>
          <w:b/>
          <w:bCs/>
          <w:color w:val="000000"/>
        </w:rPr>
        <w:br/>
      </w:r>
    </w:p>
    <w:p w14:paraId="10480782" w14:textId="15E79D69"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 xml:space="preserve">L'initiative encourage les entreprises à effectuer des ajustements tels que des </w:t>
      </w:r>
      <w:r w:rsidRPr="00590A69">
        <w:rPr>
          <w:rFonts w:ascii="Luciole" w:hAnsi="Luciole" w:cs="Calibri"/>
          <w:bCs/>
          <w:color w:val="000000"/>
        </w:rPr>
        <w:t>horaires</w:t>
      </w:r>
      <w:r w:rsidRPr="00590A69">
        <w:rPr>
          <w:rFonts w:ascii="Luciole" w:hAnsi="Luciole" w:cs="Calibri"/>
          <w:b/>
          <w:bCs/>
          <w:color w:val="000000"/>
        </w:rPr>
        <w:t xml:space="preserve"> </w:t>
      </w:r>
      <w:r w:rsidRPr="00590A69">
        <w:rPr>
          <w:rFonts w:ascii="Luciole" w:hAnsi="Luciole" w:cs="Calibri"/>
          <w:bCs/>
          <w:color w:val="000000"/>
        </w:rPr>
        <w:t>de travail flexibles</w:t>
      </w:r>
      <w:r w:rsidRPr="00590A69">
        <w:rPr>
          <w:rFonts w:ascii="Luciole" w:hAnsi="Luciole" w:cs="Calibri"/>
          <w:color w:val="000000"/>
        </w:rPr>
        <w:t xml:space="preserve">, des </w:t>
      </w:r>
      <w:r w:rsidRPr="00590A69">
        <w:rPr>
          <w:rFonts w:ascii="Luciole" w:hAnsi="Luciole" w:cs="Calibri"/>
          <w:bCs/>
          <w:color w:val="000000"/>
        </w:rPr>
        <w:t>environnements de travail adaptés</w:t>
      </w:r>
      <w:r w:rsidRPr="00590A69">
        <w:rPr>
          <w:rFonts w:ascii="Luciole" w:hAnsi="Luciole" w:cs="Calibri"/>
          <w:color w:val="000000"/>
        </w:rPr>
        <w:t xml:space="preserve"> aux sensibilités sensorielles, et des processus de communication qui tiennent compte des besoins spécifiques des collaborateurs neurodivergents. L’objectif est de créer des conditions optimales pour maximiser leur potentiel et garantir leur inclusion professionnelle.</w:t>
      </w:r>
    </w:p>
    <w:p w14:paraId="3654C8C4" w14:textId="1E6A2EAA" w:rsidR="001E38D6" w:rsidRPr="00590A69" w:rsidRDefault="001E38D6" w:rsidP="00590A69">
      <w:pPr>
        <w:spacing w:after="0" w:line="240" w:lineRule="auto"/>
        <w:ind w:left="0"/>
        <w:rPr>
          <w:rFonts w:ascii="Luciole" w:hAnsi="Luciole" w:cs="Times New Roman"/>
          <w:color w:val="auto"/>
        </w:rPr>
      </w:pPr>
    </w:p>
    <w:p w14:paraId="6DA6C611" w14:textId="77777777" w:rsidR="001E38D6" w:rsidRPr="00590A69" w:rsidRDefault="001E38D6" w:rsidP="00590A69">
      <w:pPr>
        <w:pStyle w:val="Titre3"/>
        <w:numPr>
          <w:ilvl w:val="0"/>
          <w:numId w:val="0"/>
        </w:numPr>
        <w:spacing w:before="0" w:after="0" w:line="240" w:lineRule="auto"/>
        <w:jc w:val="both"/>
        <w:rPr>
          <w:rFonts w:ascii="Luciole" w:hAnsi="Luciole"/>
        </w:rPr>
      </w:pPr>
      <w:r w:rsidRPr="00590A69">
        <w:rPr>
          <w:rFonts w:ascii="Luciole" w:hAnsi="Luciole" w:cs="Calibri"/>
          <w:color w:val="000000"/>
          <w:sz w:val="26"/>
          <w:szCs w:val="26"/>
        </w:rPr>
        <w:lastRenderedPageBreak/>
        <w:t>DOMAINE :</w:t>
      </w:r>
    </w:p>
    <w:p w14:paraId="718E8DAC"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04DDF919"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52A9E010" w14:textId="77777777" w:rsid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
          <w:bCs/>
          <w:color w:val="000000"/>
        </w:rPr>
        <w:t>Facilitation de l'accès à l'emploi :</w:t>
      </w:r>
      <w:r w:rsidRPr="00590A69">
        <w:rPr>
          <w:rFonts w:ascii="Luciole" w:hAnsi="Luciole" w:cs="Calibri"/>
          <w:b/>
          <w:bCs/>
          <w:color w:val="000000"/>
        </w:rPr>
        <w:br/>
      </w:r>
    </w:p>
    <w:p w14:paraId="3209633A" w14:textId="5A05B78D"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Cette initiative aide les entreprises à comprendre comment recruter et intégrer efficacement des personnes neurodivergentes. Elle met en avant les avantages de la diversité cognitive pour améliorer la performance globale des équipes et incite à l’adoption de pratiques inclusives pour attirer et retenir ces talents.</w:t>
      </w:r>
    </w:p>
    <w:p w14:paraId="6A8D0459" w14:textId="77777777" w:rsidR="00747CD3" w:rsidRDefault="00747CD3" w:rsidP="00590A69">
      <w:pPr>
        <w:pStyle w:val="NormalWeb"/>
        <w:spacing w:before="0" w:beforeAutospacing="0" w:after="0" w:afterAutospacing="0"/>
        <w:textAlignment w:val="baseline"/>
        <w:rPr>
          <w:rFonts w:ascii="Luciole" w:hAnsi="Luciole" w:cs="Calibri"/>
          <w:color w:val="000000"/>
        </w:rPr>
      </w:pPr>
    </w:p>
    <w:p w14:paraId="285F9216" w14:textId="77777777" w:rsidR="00590A69" w:rsidRPr="00590A69" w:rsidRDefault="00590A69" w:rsidP="00590A69">
      <w:pPr>
        <w:pStyle w:val="NormalWeb"/>
        <w:spacing w:before="0" w:beforeAutospacing="0" w:after="0" w:afterAutospacing="0"/>
        <w:textAlignment w:val="baseline"/>
        <w:rPr>
          <w:rFonts w:ascii="Luciole" w:hAnsi="Luciole" w:cs="Calibri"/>
          <w:color w:val="000000"/>
        </w:rPr>
      </w:pPr>
    </w:p>
    <w:p w14:paraId="7574251D" w14:textId="77777777" w:rsid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
          <w:bCs/>
          <w:color w:val="000000"/>
        </w:rPr>
        <w:t>Renforcement des compétences transversales :</w:t>
      </w:r>
      <w:r w:rsidRPr="00590A69">
        <w:rPr>
          <w:rFonts w:ascii="Luciole" w:hAnsi="Luciole" w:cs="Calibri"/>
          <w:b/>
          <w:bCs/>
          <w:color w:val="000000"/>
        </w:rPr>
        <w:br/>
      </w:r>
    </w:p>
    <w:p w14:paraId="2D307506" w14:textId="03C0C28C"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 xml:space="preserve">Les formations proposées encouragent le développement des </w:t>
      </w:r>
      <w:r w:rsidRPr="00590A69">
        <w:rPr>
          <w:rFonts w:ascii="Luciole" w:hAnsi="Luciole" w:cs="Calibri"/>
          <w:b/>
          <w:bCs/>
          <w:color w:val="000000"/>
        </w:rPr>
        <w:t xml:space="preserve">compétences </w:t>
      </w:r>
      <w:r w:rsidRPr="00590A69">
        <w:rPr>
          <w:rFonts w:ascii="Luciole" w:hAnsi="Luciole" w:cs="Calibri"/>
          <w:bCs/>
          <w:color w:val="000000"/>
        </w:rPr>
        <w:t>relationnelles</w:t>
      </w:r>
      <w:r w:rsidRPr="00590A69">
        <w:rPr>
          <w:rFonts w:ascii="Luciole" w:hAnsi="Luciole" w:cs="Calibri"/>
          <w:color w:val="000000"/>
        </w:rPr>
        <w:t xml:space="preserve"> et </w:t>
      </w:r>
      <w:r w:rsidRPr="00590A69">
        <w:rPr>
          <w:rFonts w:ascii="Luciole" w:hAnsi="Luciole" w:cs="Calibri"/>
          <w:bCs/>
          <w:color w:val="000000"/>
        </w:rPr>
        <w:t>émotionnelles</w:t>
      </w:r>
      <w:r w:rsidRPr="00590A69">
        <w:rPr>
          <w:rFonts w:ascii="Luciole" w:hAnsi="Luciole" w:cs="Calibri"/>
          <w:color w:val="000000"/>
        </w:rPr>
        <w:t xml:space="preserve"> au sein des équipes. Cela permet de mieux comprendre et soutenir les collaborateurs neurodivergents, tout en améliorant la communication et la cohésion d’équipe.</w:t>
      </w:r>
    </w:p>
    <w:p w14:paraId="37062F90" w14:textId="3EECCD4F" w:rsidR="001E38D6" w:rsidRDefault="001E38D6" w:rsidP="00590A69">
      <w:pPr>
        <w:spacing w:after="0" w:line="240" w:lineRule="auto"/>
        <w:ind w:left="0"/>
        <w:rPr>
          <w:rFonts w:ascii="Luciole" w:hAnsi="Luciole" w:cs="Times New Roman"/>
          <w:color w:val="auto"/>
        </w:rPr>
      </w:pPr>
    </w:p>
    <w:p w14:paraId="14F435D3" w14:textId="77777777" w:rsidR="00590A69" w:rsidRPr="00590A69" w:rsidRDefault="00590A69" w:rsidP="00590A69">
      <w:pPr>
        <w:spacing w:after="0" w:line="240" w:lineRule="auto"/>
        <w:ind w:left="0"/>
        <w:rPr>
          <w:rFonts w:ascii="Luciole" w:hAnsi="Luciole" w:cs="Times New Roman"/>
          <w:color w:val="auto"/>
        </w:rPr>
      </w:pPr>
    </w:p>
    <w:p w14:paraId="035B6CA0" w14:textId="77777777" w:rsidR="001E38D6" w:rsidRPr="00590A69" w:rsidRDefault="001E38D6" w:rsidP="00590A69">
      <w:pPr>
        <w:pStyle w:val="Titre3"/>
        <w:numPr>
          <w:ilvl w:val="0"/>
          <w:numId w:val="0"/>
        </w:numPr>
        <w:spacing w:before="0" w:after="0" w:line="240" w:lineRule="auto"/>
        <w:jc w:val="both"/>
        <w:rPr>
          <w:rFonts w:ascii="Luciole" w:hAnsi="Luciole"/>
        </w:rPr>
      </w:pPr>
      <w:r w:rsidRPr="00590A69">
        <w:rPr>
          <w:rFonts w:ascii="Luciole" w:hAnsi="Luciole" w:cs="Calibri"/>
          <w:color w:val="000000"/>
          <w:sz w:val="26"/>
          <w:szCs w:val="26"/>
        </w:rPr>
        <w:t>PRODUITS / RÉSULTATS :</w:t>
      </w:r>
    </w:p>
    <w:p w14:paraId="77C1A5A2"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5AFC2AB7"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6562EA46" w14:textId="77777777" w:rsidR="001E38D6" w:rsidRDefault="001E38D6" w:rsidP="00590A69">
      <w:pPr>
        <w:pStyle w:val="NormalWeb"/>
        <w:spacing w:before="0" w:beforeAutospacing="0" w:after="0" w:afterAutospacing="0"/>
        <w:textAlignment w:val="baseline"/>
        <w:rPr>
          <w:rFonts w:ascii="Luciole" w:hAnsi="Luciole" w:cs="Calibri"/>
          <w:b/>
          <w:bCs/>
          <w:color w:val="000000"/>
        </w:rPr>
      </w:pPr>
      <w:r w:rsidRPr="00590A69">
        <w:rPr>
          <w:rFonts w:ascii="Luciole" w:hAnsi="Luciole" w:cs="Calibri"/>
          <w:b/>
          <w:bCs/>
          <w:color w:val="000000"/>
        </w:rPr>
        <w:t>Type de produit :</w:t>
      </w:r>
    </w:p>
    <w:p w14:paraId="16FF99DB" w14:textId="77777777" w:rsidR="00590A69" w:rsidRPr="00590A69" w:rsidRDefault="00590A69" w:rsidP="00590A69">
      <w:pPr>
        <w:pStyle w:val="NormalWeb"/>
        <w:spacing w:before="0" w:beforeAutospacing="0" w:after="0" w:afterAutospacing="0"/>
        <w:textAlignment w:val="baseline"/>
        <w:rPr>
          <w:rFonts w:ascii="Luciole" w:hAnsi="Luciole" w:cs="Calibri"/>
          <w:color w:val="000000"/>
        </w:rPr>
      </w:pPr>
    </w:p>
    <w:p w14:paraId="1EC26975" w14:textId="77777777" w:rsidR="001E38D6" w:rsidRPr="00590A69" w:rsidRDefault="001E38D6" w:rsidP="00590A69">
      <w:pPr>
        <w:pStyle w:val="NormalWeb"/>
        <w:numPr>
          <w:ilvl w:val="0"/>
          <w:numId w:val="38"/>
        </w:numPr>
        <w:spacing w:before="0" w:beforeAutospacing="0" w:after="0" w:afterAutospacing="0"/>
        <w:textAlignment w:val="baseline"/>
        <w:rPr>
          <w:rFonts w:ascii="Luciole" w:hAnsi="Luciole" w:cs="Calibri"/>
          <w:color w:val="000000"/>
        </w:rPr>
      </w:pPr>
      <w:r w:rsidRPr="00590A69">
        <w:rPr>
          <w:rFonts w:ascii="Luciole" w:hAnsi="Luciole" w:cs="Calibri"/>
          <w:color w:val="000000"/>
        </w:rPr>
        <w:t>Guide imprimé et PDF</w:t>
      </w:r>
    </w:p>
    <w:p w14:paraId="235461CE" w14:textId="77777777" w:rsidR="001E38D6" w:rsidRPr="00590A69" w:rsidRDefault="001E38D6" w:rsidP="00590A69">
      <w:pPr>
        <w:pStyle w:val="NormalWeb"/>
        <w:numPr>
          <w:ilvl w:val="0"/>
          <w:numId w:val="38"/>
        </w:numPr>
        <w:spacing w:before="0" w:beforeAutospacing="0" w:after="0" w:afterAutospacing="0"/>
        <w:textAlignment w:val="baseline"/>
        <w:rPr>
          <w:rFonts w:ascii="Luciole" w:hAnsi="Luciole" w:cs="Calibri"/>
          <w:color w:val="000000"/>
        </w:rPr>
      </w:pPr>
      <w:r w:rsidRPr="00590A69">
        <w:rPr>
          <w:rFonts w:ascii="Luciole" w:hAnsi="Luciole" w:cs="Calibri"/>
          <w:color w:val="000000"/>
        </w:rPr>
        <w:t>Outils de formation</w:t>
      </w:r>
    </w:p>
    <w:p w14:paraId="7738ED6E" w14:textId="77777777" w:rsidR="001E38D6" w:rsidRPr="00590A69" w:rsidRDefault="001E38D6" w:rsidP="00590A69">
      <w:pPr>
        <w:pStyle w:val="NormalWeb"/>
        <w:numPr>
          <w:ilvl w:val="0"/>
          <w:numId w:val="38"/>
        </w:numPr>
        <w:spacing w:before="0" w:beforeAutospacing="0" w:after="0" w:afterAutospacing="0"/>
        <w:textAlignment w:val="baseline"/>
        <w:rPr>
          <w:rFonts w:ascii="Luciole" w:hAnsi="Luciole" w:cs="Calibri"/>
          <w:color w:val="000000"/>
        </w:rPr>
      </w:pPr>
      <w:r w:rsidRPr="00590A69">
        <w:rPr>
          <w:rFonts w:ascii="Luciole" w:hAnsi="Luciole" w:cs="Calibri"/>
          <w:color w:val="000000"/>
        </w:rPr>
        <w:t>Événements de sensibilisation</w:t>
      </w:r>
    </w:p>
    <w:p w14:paraId="20405FBF" w14:textId="77777777" w:rsidR="00206C2A" w:rsidRPr="00590A69" w:rsidRDefault="00206C2A" w:rsidP="00590A69">
      <w:pPr>
        <w:pStyle w:val="NormalWeb"/>
        <w:spacing w:before="0" w:beforeAutospacing="0" w:after="0" w:afterAutospacing="0"/>
        <w:textAlignment w:val="baseline"/>
        <w:rPr>
          <w:rFonts w:ascii="Luciole" w:hAnsi="Luciole" w:cs="Calibri"/>
          <w:color w:val="000000"/>
        </w:rPr>
      </w:pPr>
    </w:p>
    <w:p w14:paraId="1D8D16A9" w14:textId="7F4BBA36" w:rsidR="00590A69" w:rsidRDefault="00590A69">
      <w:pPr>
        <w:spacing w:after="160" w:line="259" w:lineRule="auto"/>
        <w:ind w:left="0" w:firstLine="0"/>
        <w:rPr>
          <w:rFonts w:ascii="Luciole" w:eastAsia="Times New Roman" w:hAnsi="Luciole" w:cs="Calibri"/>
          <w:b w:val="0"/>
          <w:kern w:val="0"/>
          <w:sz w:val="24"/>
          <w:lang w:val="fr-BE" w:eastAsia="fr-BE"/>
          <w14:ligatures w14:val="none"/>
        </w:rPr>
      </w:pPr>
      <w:r>
        <w:rPr>
          <w:rFonts w:ascii="Luciole" w:hAnsi="Luciole" w:cs="Calibri"/>
        </w:rPr>
        <w:br w:type="page"/>
      </w:r>
    </w:p>
    <w:p w14:paraId="773E8906" w14:textId="77777777" w:rsid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
          <w:bCs/>
          <w:color w:val="000000"/>
        </w:rPr>
        <w:lastRenderedPageBreak/>
        <w:t>Brève description :</w:t>
      </w:r>
      <w:r w:rsidRPr="00590A69">
        <w:rPr>
          <w:rFonts w:ascii="Luciole" w:hAnsi="Luciole" w:cs="Calibri"/>
          <w:b/>
          <w:bCs/>
          <w:color w:val="000000"/>
        </w:rPr>
        <w:br/>
      </w:r>
    </w:p>
    <w:p w14:paraId="5DF98DBE" w14:textId="351B9C66"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 xml:space="preserve">Le guide </w:t>
      </w:r>
      <w:r w:rsidRPr="00590A69">
        <w:rPr>
          <w:rFonts w:ascii="Luciole" w:hAnsi="Luciole" w:cs="Calibri"/>
          <w:bCs/>
          <w:color w:val="000000"/>
        </w:rPr>
        <w:t>"Neurodiversité : Comprendre et Mieux Appréhender la Neurodivergence au Travail"</w:t>
      </w:r>
      <w:r w:rsidRPr="00590A69">
        <w:rPr>
          <w:rFonts w:ascii="Luciole" w:hAnsi="Luciole" w:cs="Calibri"/>
          <w:color w:val="000000"/>
        </w:rPr>
        <w:t xml:space="preserve"> propose des informations détaillées sur les différentes formes de neurodivergence, les défis qu'elles présentent et les pratiques exemplaires pour les intégrer efficacement au sein des équipes. En plus du guide, des outils de formation et des ressources en ligne sont mis à disposition pour accompagner les entreprises dans leur démarche d'inclusion.</w:t>
      </w:r>
    </w:p>
    <w:p w14:paraId="49BFAABC" w14:textId="48AB0565" w:rsidR="001E38D6" w:rsidRDefault="001E38D6" w:rsidP="00590A69">
      <w:pPr>
        <w:spacing w:after="0" w:line="240" w:lineRule="auto"/>
        <w:ind w:left="0"/>
        <w:rPr>
          <w:rFonts w:ascii="Luciole" w:hAnsi="Luciole" w:cs="Times New Roman"/>
          <w:color w:val="auto"/>
        </w:rPr>
      </w:pPr>
    </w:p>
    <w:p w14:paraId="3209E601" w14:textId="77777777" w:rsidR="00590A69" w:rsidRPr="00590A69" w:rsidRDefault="00590A69" w:rsidP="00590A69">
      <w:pPr>
        <w:spacing w:after="0" w:line="240" w:lineRule="auto"/>
        <w:ind w:left="0"/>
        <w:rPr>
          <w:rFonts w:ascii="Luciole" w:hAnsi="Luciole" w:cs="Times New Roman"/>
          <w:color w:val="auto"/>
        </w:rPr>
      </w:pPr>
    </w:p>
    <w:p w14:paraId="5905B9AC" w14:textId="77777777" w:rsidR="001E38D6" w:rsidRPr="00590A69" w:rsidRDefault="001E38D6" w:rsidP="00590A69">
      <w:pPr>
        <w:pStyle w:val="Titre3"/>
        <w:numPr>
          <w:ilvl w:val="0"/>
          <w:numId w:val="0"/>
        </w:numPr>
        <w:spacing w:before="0" w:after="0" w:line="240" w:lineRule="auto"/>
        <w:jc w:val="both"/>
        <w:rPr>
          <w:rFonts w:ascii="Luciole" w:hAnsi="Luciole"/>
        </w:rPr>
      </w:pPr>
      <w:r w:rsidRPr="00590A69">
        <w:rPr>
          <w:rFonts w:ascii="Luciole" w:hAnsi="Luciole" w:cs="Calibri"/>
          <w:color w:val="000000"/>
          <w:sz w:val="26"/>
          <w:szCs w:val="26"/>
        </w:rPr>
        <w:t>IMPACT ET TRANSFÉRABILITÉ :</w:t>
      </w:r>
    </w:p>
    <w:p w14:paraId="40C975DA"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0BBAFC99" w14:textId="77777777" w:rsidR="00590A69" w:rsidRDefault="00590A69" w:rsidP="00590A69">
      <w:pPr>
        <w:pStyle w:val="NormalWeb"/>
        <w:spacing w:before="0" w:beforeAutospacing="0" w:after="0" w:afterAutospacing="0"/>
        <w:textAlignment w:val="baseline"/>
        <w:rPr>
          <w:rFonts w:ascii="Luciole" w:hAnsi="Luciole" w:cs="Calibri"/>
          <w:b/>
          <w:bCs/>
          <w:color w:val="000000"/>
        </w:rPr>
      </w:pPr>
    </w:p>
    <w:p w14:paraId="1F79293D" w14:textId="77777777" w:rsid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
          <w:bCs/>
          <w:color w:val="000000"/>
        </w:rPr>
        <w:t>Impact sur les groupes cibles :</w:t>
      </w:r>
      <w:r w:rsidRPr="00590A69">
        <w:rPr>
          <w:rFonts w:ascii="Luciole" w:hAnsi="Luciole" w:cs="Calibri"/>
          <w:b/>
          <w:bCs/>
          <w:color w:val="000000"/>
        </w:rPr>
        <w:br/>
      </w:r>
    </w:p>
    <w:p w14:paraId="4BB0F159" w14:textId="062FD0B8" w:rsidR="001E38D6"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 xml:space="preserve">Cette initiative a amélioré la compréhension et l'inclusion des personnes neurodivergentes au sein des entreprises luxembourgeoises. En adoptant ces pratiques, les entreprises ont pu observer une </w:t>
      </w:r>
      <w:r w:rsidRPr="00590A69">
        <w:rPr>
          <w:rFonts w:ascii="Luciole" w:hAnsi="Luciole" w:cs="Calibri"/>
          <w:bCs/>
          <w:color w:val="000000"/>
        </w:rPr>
        <w:t>diversité</w:t>
      </w:r>
      <w:r w:rsidRPr="00590A69">
        <w:rPr>
          <w:rFonts w:ascii="Luciole" w:hAnsi="Luciole" w:cs="Calibri"/>
          <w:b/>
          <w:bCs/>
          <w:color w:val="000000"/>
        </w:rPr>
        <w:t xml:space="preserve"> </w:t>
      </w:r>
      <w:r w:rsidRPr="00590A69">
        <w:rPr>
          <w:rFonts w:ascii="Luciole" w:hAnsi="Luciole" w:cs="Calibri"/>
          <w:bCs/>
          <w:color w:val="000000"/>
        </w:rPr>
        <w:t>cognitive accrue</w:t>
      </w:r>
      <w:r w:rsidRPr="00590A69">
        <w:rPr>
          <w:rFonts w:ascii="Luciole" w:hAnsi="Luciole" w:cs="Calibri"/>
          <w:color w:val="000000"/>
        </w:rPr>
        <w:t xml:space="preserve"> et une amélioration des </w:t>
      </w:r>
      <w:r w:rsidRPr="00590A69">
        <w:rPr>
          <w:rFonts w:ascii="Luciole" w:hAnsi="Luciole" w:cs="Calibri"/>
          <w:bCs/>
          <w:color w:val="000000"/>
        </w:rPr>
        <w:t>performances</w:t>
      </w:r>
      <w:r w:rsidRPr="00590A69">
        <w:rPr>
          <w:rFonts w:ascii="Luciole" w:hAnsi="Luciole" w:cs="Calibri"/>
          <w:b/>
          <w:bCs/>
          <w:color w:val="000000"/>
        </w:rPr>
        <w:t xml:space="preserve"> </w:t>
      </w:r>
      <w:r w:rsidRPr="00590A69">
        <w:rPr>
          <w:rFonts w:ascii="Luciole" w:hAnsi="Luciole" w:cs="Calibri"/>
          <w:bCs/>
          <w:color w:val="000000"/>
        </w:rPr>
        <w:t>globales</w:t>
      </w:r>
      <w:r w:rsidRPr="00590A69">
        <w:rPr>
          <w:rFonts w:ascii="Luciole" w:hAnsi="Luciole" w:cs="Calibri"/>
          <w:color w:val="000000"/>
        </w:rPr>
        <w:t xml:space="preserve"> des équipes. Les entreprises rapportent également une meilleure </w:t>
      </w:r>
      <w:r w:rsidRPr="00590A69">
        <w:rPr>
          <w:rFonts w:ascii="Luciole" w:hAnsi="Luciole" w:cs="Calibri"/>
          <w:bCs/>
          <w:color w:val="000000"/>
        </w:rPr>
        <w:t>satisfaction</w:t>
      </w:r>
      <w:r w:rsidRPr="00590A69">
        <w:rPr>
          <w:rFonts w:ascii="Luciole" w:hAnsi="Luciole" w:cs="Calibri"/>
          <w:b/>
          <w:bCs/>
          <w:color w:val="000000"/>
        </w:rPr>
        <w:t xml:space="preserve"> </w:t>
      </w:r>
      <w:r w:rsidRPr="00590A69">
        <w:rPr>
          <w:rFonts w:ascii="Luciole" w:hAnsi="Luciole" w:cs="Calibri"/>
          <w:bCs/>
          <w:color w:val="000000"/>
        </w:rPr>
        <w:t>des employés</w:t>
      </w:r>
      <w:r w:rsidRPr="00590A69">
        <w:rPr>
          <w:rFonts w:ascii="Luciole" w:hAnsi="Luciole" w:cs="Calibri"/>
          <w:color w:val="000000"/>
        </w:rPr>
        <w:t xml:space="preserve"> et une plus grande capacité d'</w:t>
      </w:r>
      <w:r w:rsidRPr="00590A69">
        <w:rPr>
          <w:rFonts w:ascii="Luciole" w:hAnsi="Luciole" w:cs="Calibri"/>
          <w:bCs/>
          <w:color w:val="000000"/>
        </w:rPr>
        <w:t>innovation</w:t>
      </w:r>
      <w:r w:rsidRPr="00590A69">
        <w:rPr>
          <w:rFonts w:ascii="Luciole" w:hAnsi="Luciole" w:cs="Calibri"/>
          <w:color w:val="000000"/>
        </w:rPr>
        <w:t xml:space="preserve"> grâce à l'intégration de collaborateurs neurodivergents.</w:t>
      </w:r>
    </w:p>
    <w:p w14:paraId="63FACFC7" w14:textId="77777777" w:rsidR="00747CD3" w:rsidRPr="00590A69" w:rsidRDefault="00747CD3" w:rsidP="00590A69">
      <w:pPr>
        <w:pStyle w:val="NormalWeb"/>
        <w:spacing w:before="0" w:beforeAutospacing="0" w:after="0" w:afterAutospacing="0"/>
        <w:textAlignment w:val="baseline"/>
        <w:rPr>
          <w:rFonts w:ascii="Luciole" w:hAnsi="Luciole" w:cs="Calibri"/>
          <w:color w:val="000000"/>
        </w:rPr>
      </w:pPr>
    </w:p>
    <w:p w14:paraId="2801E833" w14:textId="77777777" w:rsidR="00747CD3" w:rsidRPr="00590A69" w:rsidRDefault="00747CD3" w:rsidP="00590A69">
      <w:pPr>
        <w:pStyle w:val="NormalWeb"/>
        <w:spacing w:before="0" w:beforeAutospacing="0" w:after="0" w:afterAutospacing="0"/>
        <w:textAlignment w:val="baseline"/>
        <w:rPr>
          <w:rFonts w:ascii="Luciole" w:hAnsi="Luciole" w:cs="Calibri"/>
          <w:color w:val="000000"/>
        </w:rPr>
      </w:pPr>
    </w:p>
    <w:p w14:paraId="7366E839" w14:textId="77777777" w:rsidR="00590A69" w:rsidRDefault="00206C2A"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b/>
          <w:bCs/>
          <w:color w:val="000000"/>
        </w:rPr>
        <w:t>Autre</w:t>
      </w:r>
      <w:r w:rsidR="001E38D6" w:rsidRPr="00590A69">
        <w:rPr>
          <w:rFonts w:ascii="Luciole" w:hAnsi="Luciole" w:cs="Calibri"/>
          <w:b/>
          <w:bCs/>
          <w:color w:val="000000"/>
        </w:rPr>
        <w:t xml:space="preserve"> description :</w:t>
      </w:r>
      <w:r w:rsidR="001E38D6" w:rsidRPr="00590A69">
        <w:rPr>
          <w:rFonts w:ascii="Luciole" w:hAnsi="Luciole" w:cs="Calibri"/>
          <w:b/>
          <w:bCs/>
          <w:color w:val="000000"/>
        </w:rPr>
        <w:br/>
      </w:r>
    </w:p>
    <w:p w14:paraId="2D0E81FF" w14:textId="52B83933" w:rsidR="00777167" w:rsidRPr="00590A69" w:rsidRDefault="001E38D6" w:rsidP="00590A69">
      <w:pPr>
        <w:pStyle w:val="NormalWeb"/>
        <w:spacing w:before="0" w:beforeAutospacing="0" w:after="0" w:afterAutospacing="0"/>
        <w:textAlignment w:val="baseline"/>
        <w:rPr>
          <w:rFonts w:ascii="Luciole" w:hAnsi="Luciole" w:cs="Calibri"/>
          <w:color w:val="000000"/>
        </w:rPr>
      </w:pPr>
      <w:r w:rsidRPr="00590A69">
        <w:rPr>
          <w:rFonts w:ascii="Luciole" w:hAnsi="Luciole" w:cs="Calibri"/>
          <w:color w:val="000000"/>
        </w:rPr>
        <w:t xml:space="preserve">L'approche développée par </w:t>
      </w:r>
      <w:r w:rsidRPr="00590A69">
        <w:rPr>
          <w:rFonts w:ascii="Luciole" w:hAnsi="Luciole" w:cs="Calibri"/>
          <w:bCs/>
          <w:color w:val="000000"/>
        </w:rPr>
        <w:t>IMS</w:t>
      </w:r>
      <w:r w:rsidRPr="00590A69">
        <w:rPr>
          <w:rFonts w:ascii="Luciole" w:hAnsi="Luciole" w:cs="Calibri"/>
          <w:b/>
          <w:bCs/>
          <w:color w:val="000000"/>
        </w:rPr>
        <w:t xml:space="preserve"> </w:t>
      </w:r>
      <w:r w:rsidRPr="00590A69">
        <w:rPr>
          <w:rFonts w:ascii="Luciole" w:hAnsi="Luciole" w:cs="Calibri"/>
          <w:bCs/>
          <w:color w:val="000000"/>
        </w:rPr>
        <w:t>Luxembourg</w:t>
      </w:r>
      <w:r w:rsidRPr="00590A69">
        <w:rPr>
          <w:rFonts w:ascii="Luciole" w:hAnsi="Luciole" w:cs="Calibri"/>
          <w:color w:val="000000"/>
        </w:rPr>
        <w:t xml:space="preserve"> est facilement adaptable et transférable dans d'autres contextes internationaux. Les outils et pratiques proposés peuvent être utilisés par les entreprises pour créer un environnement de travail inclusif, où les talents uniques des personnes neurodivergentes sont valorisés. Cela permet de promouvoir une </w:t>
      </w:r>
      <w:r w:rsidRPr="00590A69">
        <w:rPr>
          <w:rFonts w:ascii="Luciole" w:hAnsi="Luciole" w:cs="Calibri"/>
          <w:bCs/>
          <w:color w:val="000000"/>
        </w:rPr>
        <w:t>diversité</w:t>
      </w:r>
      <w:r w:rsidRPr="00590A69">
        <w:rPr>
          <w:rFonts w:ascii="Luciole" w:hAnsi="Luciole" w:cs="Calibri"/>
          <w:b/>
          <w:bCs/>
          <w:color w:val="000000"/>
        </w:rPr>
        <w:t xml:space="preserve"> </w:t>
      </w:r>
      <w:r w:rsidRPr="00590A69">
        <w:rPr>
          <w:rFonts w:ascii="Luciole" w:hAnsi="Luciole" w:cs="Calibri"/>
          <w:bCs/>
          <w:color w:val="000000"/>
        </w:rPr>
        <w:t>cognitive bénéfique</w:t>
      </w:r>
      <w:r w:rsidRPr="00590A69">
        <w:rPr>
          <w:rFonts w:ascii="Luciole" w:hAnsi="Luciole" w:cs="Calibri"/>
          <w:color w:val="000000"/>
        </w:rPr>
        <w:t xml:space="preserve"> à l'organisation, renforçant à la fois la performance et l'innovation.</w:t>
      </w:r>
      <w:bookmarkStart w:id="0" w:name="_GoBack"/>
      <w:bookmarkEnd w:id="0"/>
    </w:p>
    <w:sectPr w:rsidR="00777167" w:rsidRPr="00590A69"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4824B" w14:textId="77777777" w:rsidR="00464739" w:rsidRDefault="00464739" w:rsidP="008D2C54">
      <w:r>
        <w:separator/>
      </w:r>
    </w:p>
  </w:endnote>
  <w:endnote w:type="continuationSeparator" w:id="0">
    <w:p w14:paraId="6CE4E1BD" w14:textId="77777777" w:rsidR="00464739" w:rsidRDefault="00464739"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9631D8A9-36A6-48E8-845F-D9B233D188A3}"/>
    <w:embedBold r:id="rId2" w:fontKey="{AAB6E53C-A66A-44F0-AB97-2F88AE5B318A}"/>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590A69">
          <w:rPr>
            <w:noProof/>
          </w:rPr>
          <w:t>5</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77C7E" w14:textId="77777777" w:rsidR="00464739" w:rsidRDefault="00464739" w:rsidP="008D2C54">
      <w:r>
        <w:separator/>
      </w:r>
    </w:p>
  </w:footnote>
  <w:footnote w:type="continuationSeparator" w:id="0">
    <w:p w14:paraId="77197A18" w14:textId="77777777" w:rsidR="00464739" w:rsidRDefault="00464739"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590A69">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3388"/>
    <w:multiLevelType w:val="multilevel"/>
    <w:tmpl w:val="427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F7F355C"/>
    <w:multiLevelType w:val="hybridMultilevel"/>
    <w:tmpl w:val="7A908D7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3B415E"/>
    <w:multiLevelType w:val="multilevel"/>
    <w:tmpl w:val="FCDE5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682226"/>
    <w:multiLevelType w:val="multilevel"/>
    <w:tmpl w:val="79EA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31990639"/>
    <w:multiLevelType w:val="multilevel"/>
    <w:tmpl w:val="C7267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78938F1"/>
    <w:multiLevelType w:val="multilevel"/>
    <w:tmpl w:val="6A0E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6"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52B11DD"/>
    <w:multiLevelType w:val="multilevel"/>
    <w:tmpl w:val="0E68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BD27A5"/>
    <w:multiLevelType w:val="hybridMultilevel"/>
    <w:tmpl w:val="460252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9"/>
  </w:num>
  <w:num w:numId="2">
    <w:abstractNumId w:val="33"/>
  </w:num>
  <w:num w:numId="3">
    <w:abstractNumId w:val="18"/>
  </w:num>
  <w:num w:numId="4">
    <w:abstractNumId w:val="34"/>
  </w:num>
  <w:num w:numId="5">
    <w:abstractNumId w:val="4"/>
  </w:num>
  <w:num w:numId="6">
    <w:abstractNumId w:val="5"/>
  </w:num>
  <w:num w:numId="7">
    <w:abstractNumId w:val="30"/>
  </w:num>
  <w:num w:numId="8">
    <w:abstractNumId w:val="36"/>
  </w:num>
  <w:num w:numId="9">
    <w:abstractNumId w:val="11"/>
  </w:num>
  <w:num w:numId="10">
    <w:abstractNumId w:val="26"/>
  </w:num>
  <w:num w:numId="11">
    <w:abstractNumId w:val="28"/>
  </w:num>
  <w:num w:numId="12">
    <w:abstractNumId w:val="12"/>
  </w:num>
  <w:num w:numId="13">
    <w:abstractNumId w:val="2"/>
  </w:num>
  <w:num w:numId="14">
    <w:abstractNumId w:val="37"/>
  </w:num>
  <w:num w:numId="15">
    <w:abstractNumId w:val="16"/>
  </w:num>
  <w:num w:numId="16">
    <w:abstractNumId w:val="1"/>
  </w:num>
  <w:num w:numId="17">
    <w:abstractNumId w:val="24"/>
  </w:num>
  <w:num w:numId="18">
    <w:abstractNumId w:val="32"/>
  </w:num>
  <w:num w:numId="19">
    <w:abstractNumId w:val="13"/>
  </w:num>
  <w:num w:numId="20">
    <w:abstractNumId w:val="25"/>
  </w:num>
  <w:num w:numId="21">
    <w:abstractNumId w:val="9"/>
  </w:num>
  <w:num w:numId="22">
    <w:abstractNumId w:val="22"/>
  </w:num>
  <w:num w:numId="23">
    <w:abstractNumId w:val="27"/>
  </w:num>
  <w:num w:numId="24">
    <w:abstractNumId w:val="15"/>
  </w:num>
  <w:num w:numId="25">
    <w:abstractNumId w:val="23"/>
  </w:num>
  <w:num w:numId="26">
    <w:abstractNumId w:val="7"/>
  </w:num>
  <w:num w:numId="27">
    <w:abstractNumId w:val="21"/>
  </w:num>
  <w:num w:numId="28">
    <w:abstractNumId w:val="10"/>
  </w:num>
  <w:num w:numId="29">
    <w:abstractNumId w:val="8"/>
  </w:num>
  <w:num w:numId="30">
    <w:abstractNumId w:val="35"/>
  </w:num>
  <w:num w:numId="31">
    <w:abstractNumId w:val="14"/>
  </w:num>
  <w:num w:numId="32">
    <w:abstractNumId w:val="17"/>
  </w:num>
  <w:num w:numId="33">
    <w:abstractNumId w:val="0"/>
  </w:num>
  <w:num w:numId="34">
    <w:abstractNumId w:val="20"/>
  </w:num>
  <w:num w:numId="35">
    <w:abstractNumId w:val="6"/>
  </w:num>
  <w:num w:numId="36">
    <w:abstractNumId w:val="29"/>
  </w:num>
  <w:num w:numId="37">
    <w:abstractNumId w:val="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125850"/>
    <w:rsid w:val="001B002B"/>
    <w:rsid w:val="001C06E4"/>
    <w:rsid w:val="001E38D6"/>
    <w:rsid w:val="002052FF"/>
    <w:rsid w:val="00206C2A"/>
    <w:rsid w:val="00283099"/>
    <w:rsid w:val="00295C02"/>
    <w:rsid w:val="002E1F33"/>
    <w:rsid w:val="002E623C"/>
    <w:rsid w:val="002F109E"/>
    <w:rsid w:val="003058F9"/>
    <w:rsid w:val="00344B35"/>
    <w:rsid w:val="00357120"/>
    <w:rsid w:val="00361213"/>
    <w:rsid w:val="003748C3"/>
    <w:rsid w:val="003E67EF"/>
    <w:rsid w:val="00435290"/>
    <w:rsid w:val="0043677B"/>
    <w:rsid w:val="00464739"/>
    <w:rsid w:val="0049728F"/>
    <w:rsid w:val="004B742E"/>
    <w:rsid w:val="004C45B6"/>
    <w:rsid w:val="004D7D3D"/>
    <w:rsid w:val="004F69D1"/>
    <w:rsid w:val="00533A90"/>
    <w:rsid w:val="00590A69"/>
    <w:rsid w:val="005B47C7"/>
    <w:rsid w:val="006C2583"/>
    <w:rsid w:val="006C5B7A"/>
    <w:rsid w:val="006D53CC"/>
    <w:rsid w:val="00714AE0"/>
    <w:rsid w:val="00747CD3"/>
    <w:rsid w:val="00777167"/>
    <w:rsid w:val="007A1FBB"/>
    <w:rsid w:val="007D6C46"/>
    <w:rsid w:val="008657EB"/>
    <w:rsid w:val="00875269"/>
    <w:rsid w:val="008B2213"/>
    <w:rsid w:val="008D2C54"/>
    <w:rsid w:val="008D7634"/>
    <w:rsid w:val="00967BB0"/>
    <w:rsid w:val="009E18D8"/>
    <w:rsid w:val="00A26B77"/>
    <w:rsid w:val="00A56FB1"/>
    <w:rsid w:val="00A768BD"/>
    <w:rsid w:val="00AE07A3"/>
    <w:rsid w:val="00AF5BF2"/>
    <w:rsid w:val="00B143B2"/>
    <w:rsid w:val="00B93ED7"/>
    <w:rsid w:val="00B97622"/>
    <w:rsid w:val="00C13CAA"/>
    <w:rsid w:val="00C72994"/>
    <w:rsid w:val="00C976F9"/>
    <w:rsid w:val="00CE6F36"/>
    <w:rsid w:val="00D41596"/>
    <w:rsid w:val="00D82191"/>
    <w:rsid w:val="00D93F3C"/>
    <w:rsid w:val="00DC1BEB"/>
    <w:rsid w:val="00E936A3"/>
    <w:rsid w:val="00ED1093"/>
    <w:rsid w:val="00ED3DDF"/>
    <w:rsid w:val="00F07106"/>
    <w:rsid w:val="00F2515E"/>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760643">
      <w:bodyDiv w:val="1"/>
      <w:marLeft w:val="0"/>
      <w:marRight w:val="0"/>
      <w:marTop w:val="0"/>
      <w:marBottom w:val="0"/>
      <w:divBdr>
        <w:top w:val="none" w:sz="0" w:space="0" w:color="auto"/>
        <w:left w:val="none" w:sz="0" w:space="0" w:color="auto"/>
        <w:bottom w:val="none" w:sz="0" w:space="0" w:color="auto"/>
        <w:right w:val="none" w:sz="0" w:space="0" w:color="auto"/>
      </w:divBdr>
    </w:div>
    <w:div w:id="10215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lux.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mslux.lu"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3719-465A-46DE-A259-26497ECD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14</TotalTime>
  <Pages>5</Pages>
  <Words>732</Words>
  <Characters>4030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5</cp:revision>
  <cp:lastPrinted>2024-12-23T11:09:00Z</cp:lastPrinted>
  <dcterms:created xsi:type="dcterms:W3CDTF">2024-12-28T14:13:00Z</dcterms:created>
  <dcterms:modified xsi:type="dcterms:W3CDTF">2024-12-30T16:10:00Z</dcterms:modified>
</cp:coreProperties>
</file>